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仿宋_GB2312" w:hAnsi="仿宋_GB2312" w:cs="仿宋_GB2312"/>
          <w:b/>
          <w:bCs/>
          <w:sz w:val="44"/>
          <w:szCs w:val="44"/>
          <w:u w:val="single"/>
        </w:rPr>
      </w:pPr>
      <w:r>
        <w:rPr>
          <w:rFonts w:hint="eastAsia" w:ascii="宋体" w:hAnsi="宋体" w:cs="宋体"/>
          <w:b/>
          <w:bCs/>
          <w:sz w:val="44"/>
          <w:szCs w:val="44"/>
          <w:u w:val="single"/>
        </w:rPr>
        <w:t>第二事业部</w:t>
      </w:r>
      <w:r>
        <w:rPr>
          <w:rFonts w:hint="eastAsia" w:ascii="宋体" w:hAnsi="宋体" w:cs="宋体"/>
          <w:b/>
          <w:bCs/>
          <w:color w:val="auto"/>
          <w:sz w:val="44"/>
          <w:szCs w:val="44"/>
          <w:u w:val="single"/>
        </w:rPr>
        <w:t>铜山金磊项目-商品混凝土</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auto"/>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w:t>
      </w:r>
      <w:r>
        <w:rPr>
          <w:rFonts w:hint="eastAsia" w:ascii="仿宋" w:hAnsi="仿宋" w:eastAsia="仿宋" w:cs="仿宋_GB2312"/>
          <w:b/>
          <w:bCs/>
          <w:color w:val="auto"/>
          <w:sz w:val="32"/>
          <w:szCs w:val="32"/>
          <w:u w:val="single"/>
        </w:rPr>
        <w:t>02</w:t>
      </w:r>
      <w:r>
        <w:rPr>
          <w:rFonts w:hint="eastAsia" w:ascii="仿宋" w:hAnsi="仿宋" w:eastAsia="仿宋" w:cs="仿宋_GB2312"/>
          <w:b/>
          <w:bCs/>
          <w:color w:val="auto"/>
          <w:sz w:val="32"/>
          <w:szCs w:val="32"/>
          <w:u w:val="single"/>
          <w:lang w:val="en-US" w:eastAsia="zh-CN"/>
        </w:rPr>
        <w:t>022</w:t>
      </w:r>
    </w:p>
    <w:p>
      <w:pPr>
        <w:rPr>
          <w:rFonts w:ascii="仿宋" w:hAnsi="仿宋" w:eastAsia="仿宋" w:cs="仿宋_GB2312"/>
          <w:b/>
          <w:bCs/>
          <w:sz w:val="32"/>
          <w:szCs w:val="32"/>
          <w:u w:val="single"/>
        </w:rPr>
      </w:pPr>
    </w:p>
    <w:p>
      <w:pPr>
        <w:rPr>
          <w:rFonts w:ascii="仿宋" w:hAnsi="仿宋" w:eastAsia="仿宋" w:cs="仿宋_GB2312"/>
          <w:b/>
          <w:bCs/>
          <w:color w:val="auto"/>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color w:val="auto"/>
          <w:sz w:val="32"/>
          <w:szCs w:val="32"/>
          <w:u w:val="single"/>
        </w:rPr>
        <w:t>2020年12月1</w:t>
      </w:r>
      <w:r>
        <w:rPr>
          <w:rFonts w:hint="eastAsia" w:ascii="仿宋" w:hAnsi="仿宋" w:eastAsia="仿宋" w:cs="仿宋_GB2312"/>
          <w:b/>
          <w:bCs/>
          <w:color w:val="auto"/>
          <w:sz w:val="32"/>
          <w:szCs w:val="32"/>
          <w:u w:val="single"/>
          <w:lang w:val="en-US" w:eastAsia="zh-CN"/>
        </w:rPr>
        <w:t>1</w:t>
      </w:r>
      <w:r>
        <w:rPr>
          <w:rFonts w:hint="eastAsia" w:ascii="仿宋" w:hAnsi="仿宋" w:eastAsia="仿宋" w:cs="仿宋_GB2312"/>
          <w:b/>
          <w:bCs/>
          <w:color w:val="auto"/>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毛文文（15256639761）、黄赟（18656211500）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auto"/>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color w:val="auto"/>
          <w:sz w:val="28"/>
          <w:szCs w:val="28"/>
          <w:u w:val="single"/>
        </w:rPr>
        <w:t>2020年12月1</w:t>
      </w:r>
      <w:r>
        <w:rPr>
          <w:rFonts w:hint="eastAsia" w:ascii="仿宋" w:hAnsi="仿宋" w:eastAsia="仿宋" w:cs="仿宋_GB2312"/>
          <w:color w:val="auto"/>
          <w:sz w:val="28"/>
          <w:szCs w:val="28"/>
          <w:u w:val="single"/>
          <w:lang w:val="en-US" w:eastAsia="zh-CN"/>
        </w:rPr>
        <w:t>1</w:t>
      </w:r>
      <w:r>
        <w:rPr>
          <w:rFonts w:hint="eastAsia" w:ascii="仿宋" w:hAnsi="仿宋" w:eastAsia="仿宋" w:cs="仿宋_GB2312"/>
          <w:color w:val="auto"/>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color w:val="auto"/>
          <w:sz w:val="28"/>
          <w:szCs w:val="28"/>
        </w:rPr>
        <w:t>：</w:t>
      </w:r>
      <w:r>
        <w:rPr>
          <w:rFonts w:hint="eastAsia" w:ascii="仿宋" w:hAnsi="仿宋" w:eastAsia="仿宋" w:cs="仿宋_GB2312"/>
          <w:color w:val="auto"/>
          <w:sz w:val="28"/>
          <w:szCs w:val="28"/>
          <w:u w:val="single"/>
        </w:rPr>
        <w:t>2020年12月</w:t>
      </w:r>
      <w:r>
        <w:rPr>
          <w:rFonts w:hint="eastAsia" w:ascii="仿宋" w:hAnsi="仿宋" w:eastAsia="仿宋" w:cs="仿宋_GB2312"/>
          <w:color w:val="auto"/>
          <w:sz w:val="28"/>
          <w:szCs w:val="28"/>
          <w:u w:val="single"/>
          <w:lang w:val="en-US" w:eastAsia="zh-CN"/>
        </w:rPr>
        <w:t>16</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color w:val="auto"/>
          <w:sz w:val="28"/>
          <w:szCs w:val="28"/>
          <w:u w:val="single"/>
        </w:rPr>
      </w:pPr>
      <w:r>
        <w:rPr>
          <w:rFonts w:hint="eastAsia" w:ascii="仿宋" w:hAnsi="仿宋" w:eastAsia="仿宋" w:cs="仿宋_GB2312"/>
          <w:sz w:val="28"/>
          <w:szCs w:val="28"/>
        </w:rPr>
        <w:t>5、开标时间：</w:t>
      </w:r>
      <w:r>
        <w:rPr>
          <w:rFonts w:hint="eastAsia" w:ascii="仿宋" w:hAnsi="仿宋" w:eastAsia="仿宋" w:cs="仿宋_GB2312"/>
          <w:color w:val="auto"/>
          <w:sz w:val="28"/>
          <w:szCs w:val="28"/>
          <w:u w:val="single"/>
        </w:rPr>
        <w:t>2020年12月1</w:t>
      </w:r>
      <w:r>
        <w:rPr>
          <w:rFonts w:hint="eastAsia" w:ascii="仿宋" w:hAnsi="仿宋" w:eastAsia="仿宋" w:cs="仿宋_GB2312"/>
          <w:color w:val="auto"/>
          <w:sz w:val="28"/>
          <w:szCs w:val="28"/>
          <w:u w:val="single"/>
          <w:lang w:val="en-US" w:eastAsia="zh-CN"/>
        </w:rPr>
        <w:t>6</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r>
        <w:rPr>
          <w:rFonts w:hint="eastAsia" w:ascii="仿宋" w:hAnsi="仿宋" w:eastAsia="仿宋" w:cs="仿宋_GB2312"/>
          <w:sz w:val="28"/>
          <w:szCs w:val="28"/>
          <w:u w:val="single"/>
          <w:lang w:eastAsia="zh-CN"/>
        </w:rPr>
        <w:t>约</w:t>
      </w:r>
      <w:r>
        <w:rPr>
          <w:rFonts w:hint="eastAsia" w:ascii="仿宋" w:hAnsi="仿宋" w:eastAsia="仿宋" w:cs="仿宋_GB2312"/>
          <w:sz w:val="28"/>
          <w:szCs w:val="28"/>
          <w:u w:val="single"/>
          <w:lang w:val="en-US" w:eastAsia="zh-CN"/>
        </w:rPr>
        <w:t>70000m³</w:t>
      </w:r>
      <w:r>
        <w:rPr>
          <w:rFonts w:hint="eastAsia" w:ascii="仿宋" w:hAnsi="仿宋" w:eastAsia="仿宋" w:cs="仿宋_GB2312"/>
          <w:sz w:val="28"/>
          <w:szCs w:val="28"/>
          <w:u w:val="single"/>
        </w:rPr>
        <w:t xml:space="preserve">商品混凝土 </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eastAsia="zh-CN"/>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w:t>
      </w:r>
      <w:r>
        <w:rPr>
          <w:rFonts w:hint="eastAsia" w:ascii="仿宋" w:hAnsi="仿宋" w:eastAsia="仿宋" w:cs="仿宋_GB2312"/>
          <w:sz w:val="28"/>
          <w:szCs w:val="28"/>
          <w:highlight w:val="none"/>
        </w:rPr>
        <w:t>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2020年12月1</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hint="eastAsia" w:ascii="仿宋" w:hAnsi="仿宋" w:eastAsia="仿宋" w:cs="仿宋_GB2312"/>
          <w:sz w:val="32"/>
          <w:szCs w:val="32"/>
          <w:u w:val="single"/>
        </w:rPr>
      </w:pPr>
      <w:r>
        <w:rPr>
          <w:rFonts w:hint="eastAsia" w:ascii="仿宋_GB2312" w:hAnsi="仿宋_GB2312" w:eastAsia="仿宋_GB2312" w:cs="仿宋_GB2312"/>
          <w:sz w:val="28"/>
          <w:szCs w:val="28"/>
        </w:rPr>
        <w:t>5、联 系 人：</w:t>
      </w:r>
      <w:r>
        <w:rPr>
          <w:rFonts w:hint="eastAsia" w:ascii="仿宋" w:hAnsi="仿宋" w:eastAsia="仿宋" w:cs="仿宋_GB2312"/>
          <w:sz w:val="32"/>
          <w:szCs w:val="32"/>
          <w:u w:val="single"/>
        </w:rPr>
        <w:t>毛文文（15256639761）</w:t>
      </w:r>
    </w:p>
    <w:p>
      <w:pPr>
        <w:ind w:firstLine="640" w:firstLineChars="200"/>
        <w:rPr>
          <w:rFonts w:hint="eastAsia" w:ascii="仿宋" w:hAnsi="仿宋" w:eastAsia="仿宋" w:cs="仿宋_GB2312"/>
          <w:sz w:val="32"/>
          <w:szCs w:val="32"/>
          <w:u w:val="single"/>
        </w:rPr>
      </w:pPr>
    </w:p>
    <w:p>
      <w:pPr>
        <w:jc w:val="center"/>
        <w:rPr>
          <w:rFonts w:hint="eastAsia" w:ascii="仿宋_GB2312" w:hAnsi="宋体" w:eastAsia="仿宋_GB2312" w:cs="仿宋_GB2312"/>
          <w:b/>
          <w:sz w:val="36"/>
          <w:szCs w:val="36"/>
          <w:lang w:eastAsia="zh-CN"/>
        </w:rPr>
      </w:pPr>
    </w:p>
    <w:p>
      <w:pPr>
        <w:jc w:val="center"/>
        <w:rPr>
          <w:rFonts w:hint="eastAsia" w:ascii="仿宋_GB2312" w:hAnsi="宋体" w:eastAsia="仿宋_GB2312" w:cs="仿宋_GB2312"/>
          <w:b/>
          <w:sz w:val="36"/>
          <w:szCs w:val="36"/>
          <w:lang w:eastAsia="zh-CN"/>
        </w:rPr>
      </w:pPr>
    </w:p>
    <w:p>
      <w:pPr>
        <w:jc w:val="center"/>
        <w:rPr>
          <w:rFonts w:hint="eastAsia" w:ascii="仿宋_GB2312" w:hAnsi="宋体" w:eastAsia="仿宋_GB2312" w:cs="仿宋_GB2312"/>
          <w:b/>
          <w:sz w:val="36"/>
          <w:szCs w:val="36"/>
          <w:lang w:eastAsia="zh-CN"/>
        </w:rPr>
      </w:pPr>
    </w:p>
    <w:p>
      <w:pPr>
        <w:jc w:val="center"/>
        <w:rPr>
          <w:rFonts w:hint="eastAsia" w:ascii="仿宋_GB2312" w:hAnsi="宋体" w:eastAsia="仿宋_GB2312" w:cs="仿宋_GB2312"/>
          <w:b/>
          <w:sz w:val="36"/>
          <w:szCs w:val="36"/>
          <w:lang w:eastAsia="zh-CN"/>
        </w:rPr>
      </w:pPr>
    </w:p>
    <w:p>
      <w:pPr>
        <w:numPr>
          <w:ilvl w:val="0"/>
          <w:numId w:val="2"/>
        </w:num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lang w:eastAsia="zh-CN"/>
        </w:rPr>
        <w:t>投标</w:t>
      </w:r>
      <w:r>
        <w:rPr>
          <w:rFonts w:hint="eastAsia" w:ascii="仿宋_GB2312" w:hAnsi="宋体" w:eastAsia="仿宋_GB2312" w:cs="仿宋_GB2312"/>
          <w:b/>
          <w:sz w:val="36"/>
          <w:szCs w:val="36"/>
        </w:rPr>
        <w:t>保证金</w:t>
      </w:r>
    </w:p>
    <w:p>
      <w:pPr>
        <w:numPr>
          <w:ilvl w:val="0"/>
          <w:numId w:val="0"/>
        </w:numPr>
        <w:jc w:val="both"/>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sz w:val="28"/>
          <w:szCs w:val="28"/>
          <w:u w:val="single"/>
          <w:lang w:eastAsia="zh-CN"/>
        </w:rPr>
        <w:t>壹拾</w:t>
      </w:r>
      <w:r>
        <w:rPr>
          <w:rFonts w:hint="eastAsia" w:ascii="仿宋_GB2312" w:hAnsi="仿宋_GB2312" w:eastAsia="仿宋_GB2312" w:cs="仿宋_GB2312"/>
          <w:sz w:val="28"/>
          <w:szCs w:val="28"/>
          <w:u w:val="single"/>
        </w:rPr>
        <w:t>万元整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），无投标保证金的，视为无效投标。投标保证金须对公账户转账，不接受私人账户转账，同时要求注明</w:t>
      </w:r>
      <w:r>
        <w:rPr>
          <w:rFonts w:hint="eastAsia" w:ascii="仿宋_GB2312" w:hAnsi="仿宋_GB2312" w:eastAsia="仿宋_GB2312" w:cs="仿宋_GB2312"/>
          <w:sz w:val="28"/>
          <w:szCs w:val="28"/>
          <w:u w:val="single"/>
        </w:rPr>
        <w:t>第二事业部铜山金磊项目-商品混凝土TGJA-WZ-20</w:t>
      </w:r>
      <w:r>
        <w:rPr>
          <w:rFonts w:hint="eastAsia" w:ascii="仿宋_GB2312" w:hAnsi="仿宋_GB2312" w:eastAsia="仿宋_GB2312" w:cs="仿宋_GB2312"/>
          <w:sz w:val="28"/>
          <w:szCs w:val="28"/>
          <w:u w:val="single"/>
          <w:lang w:val="en-US" w:eastAsia="zh-CN"/>
        </w:rPr>
        <w:t>2022</w:t>
      </w:r>
      <w:r>
        <w:rPr>
          <w:rFonts w:hint="eastAsia" w:ascii="仿宋_GB2312" w:hAnsi="仿宋_GB2312" w:eastAsia="仿宋_GB2312" w:cs="仿宋_GB2312"/>
          <w:sz w:val="28"/>
          <w:szCs w:val="28"/>
          <w:u w:val="single"/>
        </w:rPr>
        <w:t>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2020年12月1</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both"/>
        <w:rPr>
          <w:rFonts w:hint="eastAsia" w:ascii="仿宋" w:hAnsi="仿宋" w:eastAsia="仿宋" w:cs="仿宋_GB2312"/>
          <w:b/>
          <w:sz w:val="36"/>
          <w:szCs w:val="36"/>
          <w:lang w:eastAsia="zh-CN"/>
        </w:rPr>
      </w:pPr>
    </w:p>
    <w:p>
      <w:pPr>
        <w:numPr>
          <w:ilvl w:val="0"/>
          <w:numId w:val="0"/>
        </w:numPr>
        <w:ind w:leftChars="0"/>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投标人须知</w:t>
      </w:r>
    </w:p>
    <w:p>
      <w:pPr>
        <w:numPr>
          <w:ilvl w:val="0"/>
          <w:numId w:val="0"/>
        </w:numPr>
        <w:ind w:leftChars="0"/>
        <w:jc w:val="both"/>
        <w:rPr>
          <w:rFonts w:hint="eastAsia"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color w:val="auto"/>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w:t>
      </w:r>
      <w:r>
        <w:rPr>
          <w:rFonts w:hint="eastAsia" w:ascii="仿宋" w:hAnsi="仿宋" w:eastAsia="仿宋" w:cs="仿宋_GB2312"/>
          <w:color w:val="auto"/>
          <w:sz w:val="28"/>
          <w:szCs w:val="28"/>
          <w:u w:val="single"/>
        </w:rPr>
        <w:t>符合</w:t>
      </w:r>
      <w:r>
        <w:rPr>
          <w:rFonts w:ascii="仿宋" w:hAnsi="仿宋" w:eastAsia="仿宋" w:cs="仿宋_GB2312"/>
          <w:color w:val="auto"/>
          <w:sz w:val="28"/>
          <w:szCs w:val="28"/>
          <w:u w:val="single"/>
        </w:rPr>
        <w:t>《预拌混凝土》</w:t>
      </w:r>
      <w:r>
        <w:rPr>
          <w:rFonts w:ascii="仿宋" w:hAnsi="仿宋" w:eastAsia="仿宋" w:cs="仿宋_GB2312"/>
          <w:color w:val="auto"/>
          <w:sz w:val="28"/>
          <w:szCs w:val="28"/>
          <w:highlight w:val="none"/>
          <w:u w:val="single"/>
        </w:rPr>
        <w:t>GB/T14902-20</w:t>
      </w:r>
      <w:r>
        <w:rPr>
          <w:rFonts w:hint="eastAsia" w:ascii="仿宋" w:hAnsi="仿宋" w:eastAsia="仿宋" w:cs="仿宋_GB2312"/>
          <w:color w:val="auto"/>
          <w:sz w:val="28"/>
          <w:szCs w:val="28"/>
          <w:highlight w:val="none"/>
          <w:u w:val="single"/>
          <w:lang w:val="en-US" w:eastAsia="zh-CN"/>
        </w:rPr>
        <w:t>12</w:t>
      </w:r>
      <w:r>
        <w:rPr>
          <w:rFonts w:ascii="仿宋" w:hAnsi="仿宋" w:eastAsia="仿宋" w:cs="仿宋_GB2312"/>
          <w:color w:val="auto"/>
          <w:sz w:val="28"/>
          <w:szCs w:val="28"/>
          <w:u w:val="single"/>
        </w:rPr>
        <w:t>标准相关规定</w:t>
      </w:r>
      <w:r>
        <w:rPr>
          <w:rFonts w:hint="eastAsia" w:ascii="仿宋" w:hAnsi="仿宋" w:eastAsia="仿宋" w:cs="仿宋_GB2312"/>
          <w:color w:val="auto"/>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（3）若</w:t>
      </w:r>
      <w:r>
        <w:rPr>
          <w:rFonts w:hint="eastAsia" w:ascii="仿宋" w:hAnsi="仿宋" w:eastAsia="仿宋" w:cs="仿宋_GB2312"/>
          <w:sz w:val="28"/>
          <w:szCs w:val="28"/>
          <w:highlight w:val="none"/>
        </w:rPr>
        <w:t>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highlight w:val="none"/>
        </w:rPr>
        <w:t>（4）</w:t>
      </w:r>
      <w:r>
        <w:rPr>
          <w:rFonts w:hint="eastAsia" w:ascii="仿宋" w:hAnsi="仿宋" w:eastAsia="仿宋" w:cs="仿宋_GB2312"/>
          <w:sz w:val="28"/>
          <w:szCs w:val="28"/>
          <w:highlight w:val="none"/>
          <w:u w:val="single"/>
        </w:rPr>
        <w:t>因材料产品质量不合格所造成的相关质量问题，没收中标人履约保证金（我公司将保留供方</w:t>
      </w:r>
      <w:r>
        <w:rPr>
          <w:rFonts w:hint="eastAsia" w:ascii="仿宋" w:hAnsi="仿宋" w:eastAsia="仿宋" w:cs="仿宋_GB2312"/>
          <w:sz w:val="28"/>
          <w:szCs w:val="28"/>
          <w:highlight w:val="none"/>
          <w:u w:val="single"/>
          <w:lang w:val="en-US" w:eastAsia="zh-CN"/>
        </w:rPr>
        <w:t>20</w:t>
      </w:r>
      <w:r>
        <w:rPr>
          <w:rFonts w:hint="eastAsia" w:ascii="仿宋" w:hAnsi="仿宋" w:eastAsia="仿宋" w:cs="仿宋_GB2312"/>
          <w:sz w:val="28"/>
          <w:szCs w:val="28"/>
          <w:highlight w:val="none"/>
          <w:u w:val="single"/>
        </w:rPr>
        <w:t>0000元</w:t>
      </w:r>
      <w:r>
        <w:rPr>
          <w:rFonts w:hint="eastAsia" w:ascii="仿宋" w:hAnsi="仿宋" w:eastAsia="仿宋" w:cs="仿宋_GB2312"/>
          <w:sz w:val="28"/>
          <w:szCs w:val="28"/>
          <w:u w:val="single"/>
        </w:rPr>
        <w:t>材料款作为履约保证金），</w:t>
      </w:r>
      <w:r>
        <w:rPr>
          <w:rFonts w:hint="eastAsia" w:ascii="仿宋" w:hAnsi="仿宋" w:eastAsia="仿宋" w:cs="仿宋_GB2312"/>
          <w:sz w:val="28"/>
          <w:szCs w:val="28"/>
          <w:u w:val="single"/>
          <w:lang w:eastAsia="zh-CN"/>
        </w:rPr>
        <w:t>同时对相关质量问题所引发的返工、耽误工期、对业主单位的生产影响等所有相关</w:t>
      </w:r>
      <w:r>
        <w:rPr>
          <w:rFonts w:hint="eastAsia" w:ascii="仿宋" w:hAnsi="仿宋" w:eastAsia="仿宋" w:cs="仿宋_GB2312"/>
          <w:sz w:val="28"/>
          <w:szCs w:val="28"/>
          <w:u w:val="single"/>
        </w:rPr>
        <w:t>损失，中标人</w:t>
      </w:r>
      <w:r>
        <w:rPr>
          <w:rFonts w:hint="eastAsia" w:ascii="仿宋" w:hAnsi="仿宋" w:eastAsia="仿宋" w:cs="仿宋_GB2312"/>
          <w:sz w:val="28"/>
          <w:szCs w:val="28"/>
          <w:u w:val="single"/>
          <w:lang w:eastAsia="zh-CN"/>
        </w:rPr>
        <w:t>承担相应责任</w:t>
      </w:r>
      <w:r>
        <w:rPr>
          <w:rFonts w:hint="eastAsia" w:ascii="仿宋" w:hAnsi="仿宋" w:eastAsia="仿宋" w:cs="仿宋_GB2312"/>
          <w:sz w:val="28"/>
          <w:szCs w:val="28"/>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rPr>
      </w:pPr>
      <w:r>
        <w:rPr>
          <w:rFonts w:hint="eastAsia" w:ascii="仿宋" w:hAnsi="仿宋" w:eastAsia="仿宋" w:cs="仿宋_GB2312"/>
          <w:sz w:val="28"/>
          <w:szCs w:val="28"/>
          <w:u w:val="single"/>
        </w:rPr>
        <w:t>按月结算（池州信息价出来后开具上月发票入账，次月支付，每月付进账额度</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0%），其余货款工</w:t>
      </w:r>
      <w:r>
        <w:rPr>
          <w:rFonts w:hint="eastAsia" w:ascii="仿宋" w:hAnsi="仿宋" w:eastAsia="仿宋" w:cs="仿宋_GB2312"/>
          <w:sz w:val="28"/>
          <w:szCs w:val="28"/>
          <w:highlight w:val="none"/>
          <w:u w:val="single"/>
        </w:rPr>
        <w:t>程竣工</w:t>
      </w:r>
      <w:r>
        <w:rPr>
          <w:rFonts w:hint="eastAsia" w:ascii="仿宋" w:hAnsi="仿宋" w:eastAsia="仿宋" w:cs="仿宋_GB2312"/>
          <w:sz w:val="28"/>
          <w:szCs w:val="28"/>
          <w:highlight w:val="none"/>
          <w:u w:val="single"/>
          <w:lang w:eastAsia="zh-CN"/>
        </w:rPr>
        <w:t>后</w:t>
      </w:r>
      <w:r>
        <w:rPr>
          <w:rFonts w:hint="eastAsia" w:ascii="仿宋" w:hAnsi="仿宋" w:eastAsia="仿宋" w:cs="仿宋_GB2312"/>
          <w:sz w:val="28"/>
          <w:szCs w:val="28"/>
          <w:highlight w:val="none"/>
          <w:u w:val="single"/>
        </w:rPr>
        <w:t>当</w:t>
      </w:r>
      <w:r>
        <w:rPr>
          <w:rFonts w:hint="eastAsia" w:ascii="仿宋" w:hAnsi="仿宋" w:eastAsia="仿宋" w:cs="仿宋_GB2312"/>
          <w:sz w:val="28"/>
          <w:szCs w:val="28"/>
          <w:u w:val="single"/>
        </w:rPr>
        <w:t>年付清。</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3、报</w:t>
      </w:r>
      <w:r>
        <w:rPr>
          <w:rFonts w:hint="eastAsia" w:ascii="仿宋" w:hAnsi="仿宋" w:eastAsia="仿宋" w:cs="仿宋_GB2312"/>
          <w:sz w:val="28"/>
          <w:szCs w:val="28"/>
          <w:highlight w:val="none"/>
        </w:rPr>
        <w:t>价相关要求</w:t>
      </w:r>
    </w:p>
    <w:p>
      <w:pPr>
        <w:ind w:firstLine="638" w:firstLineChars="228"/>
        <w:rPr>
          <w:rFonts w:hint="default" w:ascii="仿宋" w:hAnsi="仿宋" w:eastAsia="仿宋" w:cs="仿宋_GB2312"/>
          <w:sz w:val="28"/>
          <w:szCs w:val="28"/>
          <w:lang w:val="en-US" w:eastAsia="zh-CN"/>
        </w:rPr>
      </w:pPr>
      <w:r>
        <w:rPr>
          <w:rFonts w:hint="eastAsia" w:ascii="仿宋" w:hAnsi="仿宋" w:eastAsia="仿宋" w:cs="仿宋_GB2312"/>
          <w:sz w:val="28"/>
          <w:szCs w:val="28"/>
        </w:rPr>
        <w:t>（1）</w:t>
      </w:r>
      <w:r>
        <w:rPr>
          <w:rFonts w:hint="eastAsia" w:ascii="仿宋" w:hAnsi="仿宋" w:eastAsia="仿宋" w:cs="仿宋_GB2312"/>
          <w:sz w:val="28"/>
          <w:szCs w:val="28"/>
          <w:u w:val="single"/>
          <w:lang w:eastAsia="zh-CN"/>
        </w:rPr>
        <w:t>本次报价按池州市贵池区信息价下浮百分数</w:t>
      </w:r>
      <w:r>
        <w:rPr>
          <w:rFonts w:hint="eastAsia" w:ascii="仿宋" w:hAnsi="仿宋" w:eastAsia="仿宋" w:cs="仿宋_GB2312"/>
          <w:sz w:val="28"/>
          <w:szCs w:val="28"/>
          <w:u w:val="single"/>
          <w:lang w:val="en-US" w:eastAsia="zh-CN"/>
        </w:rPr>
        <w:t>。</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color w:val="auto"/>
          <w:sz w:val="28"/>
          <w:szCs w:val="28"/>
          <w:u w:val="single"/>
        </w:rPr>
      </w:pPr>
      <w:r>
        <w:rPr>
          <w:rFonts w:hint="eastAsia" w:ascii="仿宋" w:hAnsi="仿宋" w:eastAsia="仿宋" w:cs="仿宋_GB2312"/>
          <w:color w:val="auto"/>
          <w:sz w:val="28"/>
          <w:szCs w:val="28"/>
          <w:u w:val="single"/>
        </w:rPr>
        <w:t>材料送至铜山金磊矿业公司980万吨/年石灰岩矿开发项目施工场所。</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w:t>
      </w:r>
      <w:r>
        <w:rPr>
          <w:rFonts w:hint="eastAsia" w:ascii="仿宋" w:hAnsi="仿宋" w:eastAsia="仿宋" w:cs="仿宋_GB2312"/>
          <w:sz w:val="28"/>
          <w:szCs w:val="28"/>
          <w:highlight w:val="none"/>
          <w:u w:val="single"/>
        </w:rPr>
        <w:t>安全</w:t>
      </w:r>
      <w:r>
        <w:rPr>
          <w:rFonts w:hint="eastAsia" w:ascii="仿宋" w:hAnsi="仿宋" w:eastAsia="仿宋" w:cs="仿宋_GB2312"/>
          <w:sz w:val="28"/>
          <w:szCs w:val="28"/>
          <w:highlight w:val="none"/>
          <w:u w:val="single"/>
          <w:lang w:eastAsia="zh-CN"/>
        </w:rPr>
        <w:t>、环保</w:t>
      </w:r>
      <w:r>
        <w:rPr>
          <w:rFonts w:hint="eastAsia" w:ascii="仿宋" w:hAnsi="仿宋" w:eastAsia="仿宋" w:cs="仿宋_GB2312"/>
          <w:sz w:val="28"/>
          <w:szCs w:val="28"/>
          <w:highlight w:val="none"/>
          <w:u w:val="single"/>
        </w:rPr>
        <w:t>事故由中</w:t>
      </w:r>
      <w:r>
        <w:rPr>
          <w:rFonts w:hint="eastAsia" w:ascii="仿宋" w:hAnsi="仿宋" w:eastAsia="仿宋" w:cs="仿宋_GB2312"/>
          <w:sz w:val="28"/>
          <w:szCs w:val="28"/>
          <w:u w:val="single"/>
        </w:rPr>
        <w:t>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u w:val="single"/>
        </w:rPr>
        <w:t>招标人</w:t>
      </w:r>
      <w:r>
        <w:rPr>
          <w:rFonts w:hint="eastAsia" w:ascii="仿宋" w:hAnsi="仿宋" w:eastAsia="仿宋" w:cs="仿宋_GB2312"/>
          <w:sz w:val="28"/>
          <w:szCs w:val="28"/>
          <w:highlight w:val="none"/>
          <w:u w:val="single"/>
        </w:rPr>
        <w:t>按送货方单验收，并随</w:t>
      </w:r>
      <w:r>
        <w:rPr>
          <w:rFonts w:hint="eastAsia" w:ascii="仿宋" w:hAnsi="仿宋" w:eastAsia="仿宋" w:cs="仿宋_GB2312"/>
          <w:sz w:val="28"/>
          <w:szCs w:val="28"/>
          <w:u w:val="single"/>
        </w:rPr>
        <w:t>时抽检。</w:t>
      </w:r>
    </w:p>
    <w:p>
      <w:pPr>
        <w:ind w:firstLine="638" w:firstLineChars="228"/>
        <w:rPr>
          <w:rFonts w:hint="eastAsia" w:ascii="仿宋" w:hAnsi="仿宋" w:eastAsia="仿宋" w:cs="仿宋_GB2312"/>
          <w:b/>
          <w:sz w:val="36"/>
          <w:szCs w:val="36"/>
          <w:lang w:eastAsia="zh-CN"/>
        </w:rPr>
      </w:pPr>
      <w:r>
        <w:rPr>
          <w:rFonts w:hint="eastAsia" w:ascii="仿宋" w:hAnsi="仿宋" w:eastAsia="仿宋" w:cs="仿宋_GB2312"/>
          <w:sz w:val="28"/>
          <w:szCs w:val="28"/>
          <w:u w:val="single"/>
          <w:lang w:val="en-US" w:eastAsia="zh-CN"/>
        </w:rPr>
        <w:t>8、因本次招标总量大，考虑到中标单位产能、市场环境等因素，为确保材料供应的稳定性，结合项目要求招两家供应单位供应（详见“评标及中标履约要求”）。两家中标候选人原则上各供应总量的一半，结合</w:t>
      </w:r>
      <w:bookmarkStart w:id="0" w:name="_GoBack"/>
      <w:bookmarkEnd w:id="0"/>
      <w:r>
        <w:rPr>
          <w:rFonts w:hint="eastAsia" w:ascii="仿宋" w:hAnsi="仿宋" w:eastAsia="仿宋" w:cs="仿宋_GB2312"/>
          <w:sz w:val="28"/>
          <w:szCs w:val="28"/>
          <w:u w:val="single"/>
          <w:lang w:val="en-US" w:eastAsia="zh-CN"/>
        </w:rPr>
        <w:t>产能、现场供应服务意识、服从现场供应管理安排等因素，项目部可适当调剂供应量份额，原则上一家供应量不超过总量的60%。</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hint="eastAsia" w:ascii="仿宋" w:hAnsi="仿宋" w:eastAsia="仿宋" w:cs="仿宋_GB2312"/>
          <w:color w:val="auto"/>
          <w:sz w:val="28"/>
          <w:szCs w:val="28"/>
          <w:u w:val="single"/>
          <w:lang w:eastAsia="zh-CN"/>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highlight w:val="none"/>
          <w:u w:val="single"/>
        </w:rPr>
        <w:t>“合理低价法”评</w:t>
      </w:r>
      <w:r>
        <w:rPr>
          <w:rFonts w:hint="eastAsia" w:ascii="仿宋" w:hAnsi="仿宋" w:eastAsia="仿宋" w:cs="仿宋_GB2312"/>
          <w:sz w:val="28"/>
          <w:szCs w:val="28"/>
          <w:u w:val="single"/>
        </w:rPr>
        <w:t>标。即以经评</w:t>
      </w:r>
      <w:r>
        <w:rPr>
          <w:rFonts w:hint="eastAsia" w:ascii="仿宋" w:hAnsi="仿宋" w:eastAsia="仿宋" w:cs="仿宋_GB2312"/>
          <w:sz w:val="28"/>
          <w:szCs w:val="28"/>
          <w:u w:val="single"/>
          <w:lang w:eastAsia="zh-CN"/>
        </w:rPr>
        <w:t>标</w:t>
      </w:r>
      <w:r>
        <w:rPr>
          <w:rFonts w:hint="eastAsia" w:ascii="仿宋" w:hAnsi="仿宋" w:eastAsia="仿宋" w:cs="仿宋_GB2312"/>
          <w:sz w:val="28"/>
          <w:szCs w:val="28"/>
          <w:u w:val="single"/>
        </w:rPr>
        <w:t>委</w:t>
      </w:r>
      <w:r>
        <w:rPr>
          <w:rFonts w:hint="eastAsia" w:ascii="仿宋" w:hAnsi="仿宋" w:eastAsia="仿宋" w:cs="仿宋_GB2312"/>
          <w:sz w:val="28"/>
          <w:szCs w:val="28"/>
          <w:u w:val="single"/>
          <w:lang w:eastAsia="zh-CN"/>
        </w:rPr>
        <w:t>员</w:t>
      </w:r>
      <w:r>
        <w:rPr>
          <w:rFonts w:hint="eastAsia" w:ascii="仿宋" w:hAnsi="仿宋" w:eastAsia="仿宋" w:cs="仿宋_GB2312"/>
          <w:sz w:val="28"/>
          <w:szCs w:val="28"/>
          <w:u w:val="single"/>
        </w:rPr>
        <w:t>会审核，剔除偏离市场行情较大的恶意报价后的报价进行排序，</w:t>
      </w:r>
      <w:r>
        <w:rPr>
          <w:rFonts w:hint="eastAsia" w:ascii="仿宋" w:hAnsi="仿宋" w:eastAsia="仿宋" w:cs="仿宋_GB2312"/>
          <w:sz w:val="28"/>
          <w:szCs w:val="28"/>
          <w:u w:val="single"/>
          <w:lang w:eastAsia="zh-CN"/>
        </w:rPr>
        <w:t>确定</w:t>
      </w:r>
      <w:r>
        <w:rPr>
          <w:rFonts w:hint="eastAsia" w:ascii="仿宋_GB2312" w:hAnsi="仿宋_GB2312" w:eastAsia="仿宋_GB2312" w:cs="仿宋_GB2312"/>
          <w:b w:val="0"/>
          <w:bCs/>
          <w:sz w:val="28"/>
          <w:szCs w:val="28"/>
          <w:u w:val="single"/>
          <w:lang w:val="en-US" w:eastAsia="zh-CN"/>
        </w:rPr>
        <w:t>最低价和次低价为</w:t>
      </w:r>
      <w:r>
        <w:rPr>
          <w:rFonts w:hint="eastAsia" w:ascii="仿宋" w:hAnsi="仿宋" w:eastAsia="仿宋" w:cs="仿宋_GB2312"/>
          <w:sz w:val="28"/>
          <w:szCs w:val="28"/>
          <w:u w:val="single"/>
        </w:rPr>
        <w:t>预中标单位</w:t>
      </w:r>
      <w:r>
        <w:rPr>
          <w:rFonts w:hint="eastAsia" w:ascii="仿宋" w:hAnsi="仿宋" w:eastAsia="仿宋" w:cs="仿宋_GB2312"/>
          <w:sz w:val="28"/>
          <w:szCs w:val="28"/>
          <w:u w:val="single"/>
          <w:lang w:eastAsia="zh-CN"/>
        </w:rPr>
        <w:t>（</w:t>
      </w:r>
      <w:r>
        <w:rPr>
          <w:rFonts w:hint="eastAsia" w:ascii="仿宋_GB2312" w:hAnsi="仿宋_GB2312" w:eastAsia="仿宋_GB2312" w:cs="仿宋_GB2312"/>
          <w:b w:val="0"/>
          <w:bCs/>
          <w:sz w:val="28"/>
          <w:szCs w:val="28"/>
          <w:u w:val="single"/>
          <w:lang w:val="en-US" w:eastAsia="zh-CN"/>
        </w:rPr>
        <w:t>次低价须同意以最低价执行供应，如次低价不同意以最低价供应，再看次次低价是否同意，以此类推，确定另一预中标单位</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需方设有</w:t>
      </w:r>
      <w:r>
        <w:rPr>
          <w:rFonts w:hint="eastAsia" w:ascii="仿宋" w:hAnsi="仿宋" w:eastAsia="仿宋" w:cs="仿宋_GB2312"/>
          <w:color w:val="auto"/>
          <w:sz w:val="28"/>
          <w:szCs w:val="28"/>
          <w:u w:val="single"/>
          <w:lang w:eastAsia="zh-CN"/>
        </w:rPr>
        <w:t>最高限价，高于标底报价作废标处理。</w:t>
      </w:r>
    </w:p>
    <w:p>
      <w:pPr>
        <w:spacing w:line="60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highlight w:val="none"/>
          <w:u w:val="single"/>
        </w:rPr>
        <w:t>名中</w:t>
      </w:r>
      <w:r>
        <w:rPr>
          <w:rFonts w:hint="eastAsia" w:ascii="仿宋" w:hAnsi="仿宋" w:eastAsia="仿宋" w:cs="仿宋_GB2312"/>
          <w:sz w:val="28"/>
          <w:szCs w:val="28"/>
          <w:u w:val="single"/>
        </w:rPr>
        <w:t>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hint="eastAsia" w:ascii="宋体"/>
          <w:sz w:val="24"/>
        </w:rPr>
      </w:pP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hint="eastAsia" w:ascii="仿宋" w:hAnsi="仿宋" w:eastAsia="仿宋" w:cs="仿宋_GB2312"/>
          <w:sz w:val="28"/>
          <w:szCs w:val="28"/>
        </w:rPr>
      </w:pPr>
    </w:p>
    <w:p>
      <w:pPr>
        <w:spacing w:before="156" w:beforeLines="50" w:after="156" w:afterLines="50" w:line="360" w:lineRule="auto"/>
        <w:ind w:firstLine="4080" w:firstLineChars="1700"/>
        <w:rPr>
          <w:rFonts w:hint="eastAsia" w:ascii="宋体"/>
          <w:sz w:val="24"/>
        </w:rPr>
      </w:pPr>
    </w:p>
    <w:p>
      <w:pPr>
        <w:spacing w:line="600" w:lineRule="exact"/>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156" w:beforeLines="50" w:after="156" w:afterLines="50" w:line="360" w:lineRule="auto"/>
        <w:rPr>
          <w:rFonts w:hint="eastAsia"/>
          <w:sz w:val="24"/>
        </w:rPr>
      </w:pPr>
    </w:p>
    <w:p>
      <w:pPr>
        <w:spacing w:line="600" w:lineRule="exact"/>
        <w:ind w:firstLine="7000" w:firstLineChars="25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报价单（TGJA-WZ-</w:t>
      </w:r>
      <w:r>
        <w:rPr>
          <w:rFonts w:hint="eastAsia" w:ascii="仿宋_GB2312" w:eastAsia="仿宋_GB2312"/>
          <w:b/>
          <w:color w:val="auto"/>
          <w:sz w:val="28"/>
          <w:szCs w:val="28"/>
        </w:rPr>
        <w:t>2020</w:t>
      </w:r>
      <w:r>
        <w:rPr>
          <w:rFonts w:hint="eastAsia" w:ascii="仿宋_GB2312" w:eastAsia="仿宋_GB2312"/>
          <w:b/>
          <w:color w:val="auto"/>
          <w:sz w:val="28"/>
          <w:szCs w:val="28"/>
          <w:lang w:val="en-US" w:eastAsia="zh-CN"/>
        </w:rPr>
        <w:t>22</w:t>
      </w:r>
      <w:r>
        <w:rPr>
          <w:rFonts w:hint="eastAsia" w:ascii="仿宋_GB2312" w:eastAsia="仿宋_GB2312"/>
          <w:b/>
          <w:sz w:val="28"/>
          <w:szCs w:val="28"/>
        </w:rPr>
        <w:t>）</w:t>
      </w:r>
    </w:p>
    <w:tbl>
      <w:tblPr>
        <w:tblStyle w:val="45"/>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1149"/>
        <w:gridCol w:w="3545"/>
        <w:gridCol w:w="1323"/>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1149" w:type="dxa"/>
            <w:vAlign w:val="center"/>
          </w:tcPr>
          <w:p>
            <w:pPr>
              <w:jc w:val="center"/>
              <w:rPr>
                <w:rFonts w:ascii="仿宋_GB2312" w:eastAsia="仿宋_GB2312"/>
                <w:sz w:val="24"/>
              </w:rPr>
            </w:pPr>
            <w:r>
              <w:rPr>
                <w:rFonts w:hint="eastAsia" w:ascii="仿宋_GB2312" w:eastAsia="仿宋_GB2312"/>
                <w:sz w:val="24"/>
              </w:rPr>
              <w:t>数量</w:t>
            </w:r>
          </w:p>
        </w:tc>
        <w:tc>
          <w:tcPr>
            <w:tcW w:w="3545" w:type="dxa"/>
            <w:vAlign w:val="center"/>
          </w:tcPr>
          <w:p>
            <w:pPr>
              <w:jc w:val="center"/>
              <w:rPr>
                <w:rFonts w:ascii="仿宋_GB2312" w:eastAsia="仿宋_GB2312"/>
                <w:b/>
                <w:bCs/>
                <w:sz w:val="24"/>
              </w:rPr>
            </w:pPr>
            <w:r>
              <w:rPr>
                <w:rFonts w:hint="eastAsia" w:ascii="仿宋_GB2312" w:eastAsia="仿宋_GB2312"/>
                <w:b/>
                <w:bCs/>
                <w:sz w:val="24"/>
              </w:rPr>
              <w:t>报价</w:t>
            </w:r>
            <w:r>
              <w:rPr>
                <w:rFonts w:hint="eastAsia" w:ascii="仿宋_GB2312" w:eastAsia="仿宋_GB2312"/>
                <w:b/>
                <w:bCs/>
                <w:sz w:val="24"/>
                <w:lang w:eastAsia="zh-CN"/>
              </w:rPr>
              <w:t>（</w:t>
            </w:r>
            <w:r>
              <w:rPr>
                <w:rFonts w:hint="eastAsia" w:ascii="仿宋_GB2312" w:eastAsia="仿宋_GB2312"/>
                <w:b/>
                <w:bCs/>
                <w:sz w:val="24"/>
              </w:rPr>
              <w:t>按</w:t>
            </w:r>
            <w:r>
              <w:rPr>
                <w:rFonts w:hint="eastAsia" w:ascii="仿宋_GB2312" w:eastAsia="仿宋_GB2312"/>
                <w:b/>
                <w:bCs/>
                <w:sz w:val="24"/>
                <w:highlight w:val="none"/>
              </w:rPr>
              <w:t>池州市贵池区信息价下浮百分数</w:t>
            </w:r>
            <w:r>
              <w:rPr>
                <w:rFonts w:hint="eastAsia" w:ascii="仿宋_GB2312" w:eastAsia="仿宋_GB2312"/>
                <w:b/>
                <w:bCs/>
                <w:sz w:val="24"/>
                <w:lang w:eastAsia="zh-CN"/>
              </w:rPr>
              <w:t>）</w:t>
            </w:r>
            <w:r>
              <w:rPr>
                <w:rFonts w:hint="eastAsia" w:ascii="仿宋_GB2312" w:eastAsia="仿宋_GB2312"/>
                <w:b/>
                <w:bCs/>
                <w:sz w:val="24"/>
              </w:rPr>
              <w:t>＊</w:t>
            </w:r>
          </w:p>
        </w:tc>
        <w:tc>
          <w:tcPr>
            <w:tcW w:w="1323" w:type="dxa"/>
            <w:vAlign w:val="center"/>
          </w:tcPr>
          <w:p>
            <w:pPr>
              <w:jc w:val="center"/>
              <w:rPr>
                <w:rFonts w:ascii="仿宋_GB2312" w:eastAsia="仿宋_GB2312"/>
                <w:b/>
                <w:bCs/>
                <w:sz w:val="24"/>
              </w:rPr>
            </w:pPr>
            <w:r>
              <w:rPr>
                <w:rFonts w:hint="eastAsia" w:ascii="仿宋_GB2312" w:eastAsia="仿宋_GB2312"/>
                <w:b/>
                <w:bCs/>
                <w:sz w:val="24"/>
              </w:rPr>
              <w:t>税率＊</w:t>
            </w:r>
          </w:p>
        </w:tc>
        <w:tc>
          <w:tcPr>
            <w:tcW w:w="3355"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color w:val="FF0000"/>
                <w:sz w:val="24"/>
              </w:rPr>
            </w:pPr>
            <w:r>
              <w:rPr>
                <w:rFonts w:hint="eastAsia" w:ascii="宋体" w:hAnsi="宋体" w:cs="宋体"/>
                <w:color w:val="auto"/>
                <w:kern w:val="0"/>
                <w:sz w:val="20"/>
                <w:szCs w:val="20"/>
              </w:rPr>
              <w:t>商品混凝土</w:t>
            </w:r>
          </w:p>
        </w:tc>
        <w:tc>
          <w:tcPr>
            <w:tcW w:w="1515" w:type="dxa"/>
            <w:vAlign w:val="center"/>
          </w:tcPr>
          <w:p>
            <w:pPr>
              <w:widowControl/>
              <w:jc w:val="center"/>
              <w:textAlignment w:val="center"/>
              <w:rPr>
                <w:rFonts w:ascii="仿宋_GB2312" w:eastAsia="仿宋_GB2312"/>
                <w:color w:val="FF0000"/>
                <w:sz w:val="24"/>
              </w:rPr>
            </w:pPr>
          </w:p>
        </w:tc>
        <w:tc>
          <w:tcPr>
            <w:tcW w:w="1860" w:type="dxa"/>
            <w:vAlign w:val="center"/>
          </w:tcPr>
          <w:p>
            <w:pPr>
              <w:widowControl/>
              <w:jc w:val="center"/>
              <w:textAlignment w:val="center"/>
              <w:rPr>
                <w:rFonts w:hint="default" w:ascii="宋体" w:hAnsi="宋体" w:eastAsia="宋体" w:cs="宋体"/>
                <w:color w:val="FF0000"/>
                <w:kern w:val="0"/>
                <w:sz w:val="20"/>
                <w:szCs w:val="20"/>
                <w:lang w:val="en-US" w:eastAsia="zh-CN"/>
              </w:rPr>
            </w:pPr>
            <w:r>
              <w:rPr>
                <w:rFonts w:ascii="宋体" w:hAnsi="宋体" w:cs="宋体"/>
                <w:color w:val="auto"/>
                <w:kern w:val="0"/>
                <w:sz w:val="20"/>
                <w:szCs w:val="20"/>
                <w:highlight w:val="none"/>
              </w:rPr>
              <w:t>GB/T14902-20</w:t>
            </w:r>
            <w:r>
              <w:rPr>
                <w:rFonts w:hint="eastAsia" w:ascii="宋体" w:hAnsi="宋体" w:cs="宋体"/>
                <w:color w:val="auto"/>
                <w:kern w:val="0"/>
                <w:sz w:val="20"/>
                <w:szCs w:val="20"/>
                <w:highlight w:val="none"/>
                <w:lang w:val="en-US" w:eastAsia="zh-CN"/>
              </w:rPr>
              <w:t>12</w:t>
            </w:r>
          </w:p>
        </w:tc>
        <w:tc>
          <w:tcPr>
            <w:tcW w:w="720" w:type="dxa"/>
            <w:vAlign w:val="center"/>
          </w:tcPr>
          <w:p>
            <w:pPr>
              <w:widowControl/>
              <w:jc w:val="center"/>
              <w:textAlignment w:val="center"/>
              <w:rPr>
                <w:rFonts w:ascii="宋体" w:hAnsi="宋体" w:cs="宋体"/>
                <w:color w:val="FF0000"/>
                <w:kern w:val="0"/>
                <w:sz w:val="20"/>
                <w:szCs w:val="20"/>
              </w:rPr>
            </w:pPr>
            <w:r>
              <w:rPr>
                <w:rFonts w:hint="eastAsia" w:ascii="宋体" w:hAnsi="宋体" w:cs="宋体"/>
                <w:color w:val="auto"/>
                <w:kern w:val="0"/>
                <w:sz w:val="20"/>
                <w:szCs w:val="20"/>
                <w:lang w:val="en-US" w:eastAsia="zh-CN"/>
              </w:rPr>
              <w:t>M³</w:t>
            </w:r>
          </w:p>
        </w:tc>
        <w:tc>
          <w:tcPr>
            <w:tcW w:w="1149" w:type="dxa"/>
            <w:vAlign w:val="center"/>
          </w:tcPr>
          <w:p>
            <w:pPr>
              <w:widowControl/>
              <w:jc w:val="center"/>
              <w:textAlignment w:val="center"/>
              <w:rPr>
                <w:rFonts w:ascii="仿宋_GB2312" w:eastAsia="仿宋_GB2312"/>
                <w:color w:val="FF0000"/>
                <w:sz w:val="24"/>
              </w:rPr>
            </w:pPr>
            <w:r>
              <w:rPr>
                <w:rFonts w:hint="eastAsia" w:ascii="仿宋_GB2312" w:eastAsia="仿宋_GB2312"/>
                <w:color w:val="auto"/>
                <w:sz w:val="24"/>
                <w:lang w:val="en-US" w:eastAsia="zh-CN"/>
              </w:rPr>
              <w:t>7</w:t>
            </w:r>
            <w:r>
              <w:rPr>
                <w:rFonts w:hint="eastAsia" w:ascii="仿宋_GB2312" w:eastAsia="仿宋_GB2312"/>
                <w:color w:val="auto"/>
                <w:sz w:val="24"/>
              </w:rPr>
              <w:t>0000</w:t>
            </w:r>
          </w:p>
        </w:tc>
        <w:tc>
          <w:tcPr>
            <w:tcW w:w="3545" w:type="dxa"/>
            <w:vAlign w:val="center"/>
          </w:tcPr>
          <w:p>
            <w:pPr>
              <w:jc w:val="center"/>
              <w:rPr>
                <w:rFonts w:ascii="仿宋_GB2312" w:eastAsia="仿宋_GB2312"/>
                <w:sz w:val="24"/>
              </w:rPr>
            </w:pPr>
          </w:p>
        </w:tc>
        <w:tc>
          <w:tcPr>
            <w:tcW w:w="1323" w:type="dxa"/>
            <w:vAlign w:val="center"/>
          </w:tcPr>
          <w:p>
            <w:pPr>
              <w:widowControl/>
              <w:jc w:val="center"/>
              <w:textAlignment w:val="center"/>
              <w:rPr>
                <w:rFonts w:ascii="仿宋_GB2312" w:eastAsia="仿宋_GB2312"/>
                <w:sz w:val="24"/>
              </w:rPr>
            </w:pPr>
          </w:p>
        </w:tc>
        <w:tc>
          <w:tcPr>
            <w:tcW w:w="3355" w:type="dxa"/>
            <w:vAlign w:val="center"/>
          </w:tcPr>
          <w:p>
            <w:pPr>
              <w:widowControl/>
              <w:jc w:val="center"/>
              <w:textAlignment w:val="center"/>
              <w:rPr>
                <w:rFonts w:ascii="仿宋_GB2312" w:eastAsia="仿宋_GB2312"/>
                <w:color w:val="FF0000"/>
                <w:sz w:val="24"/>
              </w:rPr>
            </w:pPr>
            <w:r>
              <w:rPr>
                <w:rFonts w:hint="eastAsia" w:ascii="仿宋_GB2312" w:hAnsi="仿宋_GB2312" w:eastAsia="仿宋_GB2312" w:cs="仿宋_GB2312"/>
                <w:bCs/>
                <w:color w:val="auto"/>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1149" w:type="dxa"/>
            <w:vAlign w:val="center"/>
          </w:tcPr>
          <w:p>
            <w:pPr>
              <w:jc w:val="center"/>
              <w:rPr>
                <w:rFonts w:ascii="仿宋_GB2312" w:eastAsia="仿宋_GB2312"/>
                <w:sz w:val="24"/>
              </w:rPr>
            </w:pPr>
          </w:p>
        </w:tc>
        <w:tc>
          <w:tcPr>
            <w:tcW w:w="3545" w:type="dxa"/>
            <w:vAlign w:val="center"/>
          </w:tcPr>
          <w:p>
            <w:pPr>
              <w:jc w:val="center"/>
              <w:rPr>
                <w:rFonts w:ascii="仿宋_GB2312" w:eastAsia="仿宋_GB2312"/>
                <w:sz w:val="24"/>
              </w:rPr>
            </w:pPr>
          </w:p>
        </w:tc>
        <w:tc>
          <w:tcPr>
            <w:tcW w:w="1323" w:type="dxa"/>
            <w:vAlign w:val="center"/>
          </w:tcPr>
          <w:p>
            <w:pPr>
              <w:jc w:val="center"/>
              <w:rPr>
                <w:rFonts w:ascii="仿宋_GB2312" w:eastAsia="仿宋_GB2312"/>
                <w:sz w:val="24"/>
              </w:rPr>
            </w:pPr>
          </w:p>
        </w:tc>
        <w:tc>
          <w:tcPr>
            <w:tcW w:w="3355"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1" w:type="dxa"/>
            <w:gridSpan w:val="9"/>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highlight w:val="none"/>
              </w:rPr>
              <w:t xml:space="preserve"> ＊</w:t>
            </w:r>
            <w:r>
              <w:rPr>
                <w:rFonts w:hint="eastAsia" w:ascii="仿宋_GB2312" w:eastAsia="仿宋_GB2312"/>
                <w:sz w:val="24"/>
              </w:rPr>
              <w:t xml:space="preserve"> 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08"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545" w:type="dxa"/>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678"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08" w:type="dxa"/>
            <w:gridSpan w:val="6"/>
            <w:vMerge w:val="continue"/>
            <w:vAlign w:val="center"/>
          </w:tcPr>
          <w:p>
            <w:pPr>
              <w:rPr>
                <w:rFonts w:ascii="仿宋_GB2312" w:eastAsia="仿宋_GB2312"/>
                <w:sz w:val="24"/>
              </w:rPr>
            </w:pPr>
          </w:p>
        </w:tc>
        <w:tc>
          <w:tcPr>
            <w:tcW w:w="3545"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23" w:type="dxa"/>
            <w:vAlign w:val="center"/>
          </w:tcPr>
          <w:p>
            <w:pPr>
              <w:jc w:val="center"/>
              <w:rPr>
                <w:rFonts w:ascii="仿宋_GB2312" w:eastAsia="仿宋_GB2312"/>
                <w:sz w:val="24"/>
              </w:rPr>
            </w:pPr>
            <w:r>
              <w:rPr>
                <w:rFonts w:hint="eastAsia" w:ascii="仿宋_GB2312" w:eastAsia="仿宋_GB2312"/>
                <w:sz w:val="24"/>
              </w:rPr>
              <w:t>电话</w:t>
            </w:r>
          </w:p>
        </w:tc>
        <w:tc>
          <w:tcPr>
            <w:tcW w:w="335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08" w:type="dxa"/>
            <w:gridSpan w:val="6"/>
            <w:vMerge w:val="continue"/>
            <w:vAlign w:val="center"/>
          </w:tcPr>
          <w:p>
            <w:pPr>
              <w:rPr>
                <w:rFonts w:ascii="仿宋_GB2312" w:eastAsia="仿宋_GB2312"/>
                <w:sz w:val="24"/>
              </w:rPr>
            </w:pPr>
          </w:p>
        </w:tc>
        <w:tc>
          <w:tcPr>
            <w:tcW w:w="3545" w:type="dxa"/>
            <w:vMerge w:val="continue"/>
            <w:vAlign w:val="center"/>
          </w:tcPr>
          <w:p>
            <w:pPr>
              <w:jc w:val="center"/>
              <w:rPr>
                <w:rFonts w:ascii="仿宋_GB2312" w:eastAsia="仿宋_GB2312"/>
                <w:sz w:val="24"/>
              </w:rPr>
            </w:pPr>
          </w:p>
        </w:tc>
        <w:tc>
          <w:tcPr>
            <w:tcW w:w="1323" w:type="dxa"/>
            <w:vAlign w:val="center"/>
          </w:tcPr>
          <w:p>
            <w:pPr>
              <w:jc w:val="center"/>
              <w:rPr>
                <w:rFonts w:ascii="仿宋_GB2312" w:eastAsia="仿宋_GB2312"/>
                <w:sz w:val="24"/>
              </w:rPr>
            </w:pPr>
            <w:r>
              <w:rPr>
                <w:rFonts w:hint="eastAsia" w:ascii="仿宋_GB2312" w:eastAsia="仿宋_GB2312"/>
                <w:sz w:val="24"/>
              </w:rPr>
              <w:t>邮箱</w:t>
            </w:r>
          </w:p>
        </w:tc>
        <w:tc>
          <w:tcPr>
            <w:tcW w:w="3355" w:type="dxa"/>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2815E37"/>
    <w:multiLevelType w:val="singleLevel"/>
    <w:tmpl w:val="72815E37"/>
    <w:lvl w:ilvl="0" w:tentative="0">
      <w:start w:val="6"/>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A5C7401"/>
    <w:rsid w:val="0B2B537E"/>
    <w:rsid w:val="0C6241B2"/>
    <w:rsid w:val="0D2B4E23"/>
    <w:rsid w:val="0E876D2F"/>
    <w:rsid w:val="0EC82FD7"/>
    <w:rsid w:val="0EEA79E8"/>
    <w:rsid w:val="0F791AC7"/>
    <w:rsid w:val="10181623"/>
    <w:rsid w:val="10BD1543"/>
    <w:rsid w:val="12A820AD"/>
    <w:rsid w:val="148531F5"/>
    <w:rsid w:val="17D86D23"/>
    <w:rsid w:val="18AF15FD"/>
    <w:rsid w:val="1B33713D"/>
    <w:rsid w:val="1B59783C"/>
    <w:rsid w:val="1BBF797C"/>
    <w:rsid w:val="1DEE2CCA"/>
    <w:rsid w:val="2037683E"/>
    <w:rsid w:val="223E7710"/>
    <w:rsid w:val="25590EC9"/>
    <w:rsid w:val="26224809"/>
    <w:rsid w:val="26A26CEB"/>
    <w:rsid w:val="285E7005"/>
    <w:rsid w:val="299D4A4C"/>
    <w:rsid w:val="2A1902C2"/>
    <w:rsid w:val="2AB020F1"/>
    <w:rsid w:val="2BB548BC"/>
    <w:rsid w:val="2BE80223"/>
    <w:rsid w:val="2C995D0F"/>
    <w:rsid w:val="2D3E7816"/>
    <w:rsid w:val="2E8E540F"/>
    <w:rsid w:val="302E3043"/>
    <w:rsid w:val="30D974B7"/>
    <w:rsid w:val="333663C1"/>
    <w:rsid w:val="336F7BD6"/>
    <w:rsid w:val="343C1399"/>
    <w:rsid w:val="34634E47"/>
    <w:rsid w:val="346848DB"/>
    <w:rsid w:val="354F3A99"/>
    <w:rsid w:val="357B16F3"/>
    <w:rsid w:val="36050FAB"/>
    <w:rsid w:val="3989643E"/>
    <w:rsid w:val="3A3173ED"/>
    <w:rsid w:val="3AD10001"/>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841C18"/>
    <w:rsid w:val="46BC5513"/>
    <w:rsid w:val="47F15155"/>
    <w:rsid w:val="499D4ACB"/>
    <w:rsid w:val="4E822997"/>
    <w:rsid w:val="4ED20DFA"/>
    <w:rsid w:val="4F0F5DA2"/>
    <w:rsid w:val="4F397E6D"/>
    <w:rsid w:val="4F54161A"/>
    <w:rsid w:val="504C2BE7"/>
    <w:rsid w:val="51B50E5A"/>
    <w:rsid w:val="53DE502C"/>
    <w:rsid w:val="554830C1"/>
    <w:rsid w:val="56B4262E"/>
    <w:rsid w:val="576F2EA8"/>
    <w:rsid w:val="5807041D"/>
    <w:rsid w:val="583F79D3"/>
    <w:rsid w:val="58691989"/>
    <w:rsid w:val="58F960F8"/>
    <w:rsid w:val="599F0979"/>
    <w:rsid w:val="5C1E1084"/>
    <w:rsid w:val="5EE01EF7"/>
    <w:rsid w:val="60F035C2"/>
    <w:rsid w:val="63E45615"/>
    <w:rsid w:val="69AD4D95"/>
    <w:rsid w:val="69B54174"/>
    <w:rsid w:val="6A315ABB"/>
    <w:rsid w:val="6A660AE8"/>
    <w:rsid w:val="6A87598F"/>
    <w:rsid w:val="6C55155E"/>
    <w:rsid w:val="6E1906F3"/>
    <w:rsid w:val="703849D5"/>
    <w:rsid w:val="711712EF"/>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9</Pages>
  <Words>439</Words>
  <Characters>2507</Characters>
  <Lines>20</Lines>
  <Paragraphs>5</Paragraphs>
  <TotalTime>2</TotalTime>
  <ScaleCrop>false</ScaleCrop>
  <LinksUpToDate>false</LinksUpToDate>
  <CharactersWithSpaces>2941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2020-12-11T03:01:40Z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