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A9DE7B">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bookmarkStart w:id="0" w:name="_Toc402166983"/>
      <w:bookmarkEnd w:id="0"/>
    </w:p>
    <w:p w14:paraId="6E1D54C1">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p>
    <w:p w14:paraId="1D8F809E">
      <w:pPr>
        <w:pStyle w:val="55"/>
        <w:shd w:val="clear"/>
        <w:ind w:left="0" w:leftChars="0" w:firstLine="0" w:firstLineChars="0"/>
        <w:jc w:val="center"/>
        <w:rPr>
          <w:rFonts w:hint="eastAsia" w:asciiTheme="minorEastAsia" w:hAnsiTheme="minorEastAsia" w:eastAsiaTheme="minorEastAsia" w:cstheme="minorEastAsia"/>
          <w:b w:val="0"/>
          <w:bCs w:val="0"/>
          <w:color w:val="auto"/>
          <w:kern w:val="2"/>
          <w:sz w:val="40"/>
          <w:szCs w:val="40"/>
          <w:highlight w:val="none"/>
          <w:lang w:val="en-US" w:eastAsia="zh-CN" w:bidi="ar-SA"/>
        </w:rPr>
      </w:pPr>
      <w:r>
        <w:rPr>
          <w:rFonts w:hint="eastAsia" w:ascii="宋体" w:hAnsi="宋体" w:eastAsia="宋体" w:cs="宋体"/>
          <w:b/>
          <w:bCs/>
          <w:color w:val="auto"/>
          <w:kern w:val="1"/>
          <w:sz w:val="40"/>
          <w:szCs w:val="40"/>
          <w:highlight w:val="none"/>
          <w:lang w:val="en-US" w:eastAsia="zh-CN"/>
        </w:rPr>
        <w:t>202</w:t>
      </w:r>
      <w:r>
        <w:rPr>
          <w:rFonts w:hint="eastAsia" w:ascii="宋体" w:hAnsi="宋体" w:cs="宋体"/>
          <w:b/>
          <w:bCs/>
          <w:color w:val="auto"/>
          <w:kern w:val="1"/>
          <w:sz w:val="40"/>
          <w:szCs w:val="40"/>
          <w:highlight w:val="none"/>
          <w:lang w:val="en-US" w:eastAsia="zh-CN"/>
        </w:rPr>
        <w:t>6</w:t>
      </w:r>
      <w:r>
        <w:rPr>
          <w:rFonts w:hint="eastAsia" w:ascii="宋体" w:hAnsi="宋体" w:eastAsia="宋体" w:cs="宋体"/>
          <w:b/>
          <w:bCs/>
          <w:color w:val="auto"/>
          <w:kern w:val="1"/>
          <w:sz w:val="40"/>
          <w:szCs w:val="40"/>
          <w:highlight w:val="none"/>
          <w:lang w:val="en-US" w:eastAsia="zh-CN"/>
        </w:rPr>
        <w:t>年度矿山充填胶凝材料运输业务</w:t>
      </w:r>
    </w:p>
    <w:p w14:paraId="54922764">
      <w:pPr>
        <w:tabs>
          <w:tab w:val="left" w:pos="7020"/>
        </w:tabs>
        <w:ind w:firstLine="2175" w:firstLineChars="300"/>
        <w:jc w:val="both"/>
        <w:rPr>
          <w:rFonts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lang w:val="en-US" w:eastAsia="zh-CN"/>
        </w:rPr>
        <w:t>询比采购</w:t>
      </w:r>
      <w:r>
        <w:rPr>
          <w:rFonts w:hint="eastAsia" w:asciiTheme="minorEastAsia" w:hAnsiTheme="minorEastAsia" w:eastAsiaTheme="minorEastAsia" w:cstheme="minorEastAsia"/>
          <w:b/>
          <w:color w:val="auto"/>
          <w:sz w:val="72"/>
          <w:szCs w:val="72"/>
          <w:highlight w:val="none"/>
        </w:rPr>
        <w:t>文件</w:t>
      </w:r>
    </w:p>
    <w:p w14:paraId="62BCFB90">
      <w:pPr>
        <w:tabs>
          <w:tab w:val="left" w:pos="7020"/>
        </w:tabs>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9"/>
                    <a:stretch>
                      <a:fillRect/>
                    </a:stretch>
                  </pic:blipFill>
                  <pic:spPr>
                    <a:xfrm>
                      <a:off x="0" y="0"/>
                      <a:ext cx="5578475" cy="3164840"/>
                    </a:xfrm>
                    <a:prstGeom prst="rect">
                      <a:avLst/>
                    </a:prstGeom>
                  </pic:spPr>
                </pic:pic>
              </a:graphicData>
            </a:graphic>
          </wp:inline>
        </w:drawing>
      </w:r>
    </w:p>
    <w:p w14:paraId="00B8293B">
      <w:pPr>
        <w:pStyle w:val="55"/>
        <w:rPr>
          <w:color w:val="auto"/>
          <w:highlight w:val="none"/>
        </w:rPr>
      </w:pPr>
    </w:p>
    <w:p w14:paraId="3386C053">
      <w:pPr>
        <w:rPr>
          <w:rFonts w:hint="default" w:asciiTheme="minorEastAsia" w:hAnsiTheme="minorEastAsia" w:eastAsiaTheme="minorEastAsia" w:cstheme="minorEastAsia"/>
          <w:b/>
          <w:bCs/>
          <w:color w:val="auto"/>
          <w:sz w:val="28"/>
          <w:szCs w:val="28"/>
          <w:highlight w:val="none"/>
          <w:u w:val="single"/>
          <w:lang w:val="en-US" w:eastAsia="zh-CN"/>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rPr>
        <w:t>编号：</w:t>
      </w:r>
      <w:r>
        <w:rPr>
          <w:rFonts w:hint="eastAsia" w:asciiTheme="minorEastAsia" w:hAnsiTheme="minorEastAsia" w:eastAsiaTheme="minorEastAsia" w:cstheme="minorEastAsia"/>
          <w:b/>
          <w:bCs/>
          <w:color w:val="auto"/>
          <w:sz w:val="28"/>
          <w:szCs w:val="28"/>
          <w:highlight w:val="none"/>
          <w:u w:val="single"/>
        </w:rPr>
        <w:t>TGJA-JX-2025-0</w:t>
      </w:r>
      <w:r>
        <w:rPr>
          <w:rFonts w:hint="eastAsia" w:asciiTheme="minorEastAsia" w:hAnsiTheme="minorEastAsia" w:eastAsiaTheme="minorEastAsia" w:cstheme="minorEastAsia"/>
          <w:b/>
          <w:bCs/>
          <w:color w:val="auto"/>
          <w:sz w:val="28"/>
          <w:szCs w:val="28"/>
          <w:highlight w:val="none"/>
          <w:u w:val="single"/>
          <w:lang w:val="en-US" w:eastAsia="zh-CN"/>
        </w:rPr>
        <w:t>55</w:t>
      </w:r>
    </w:p>
    <w:p w14:paraId="32EE43C4">
      <w:pPr>
        <w:pStyle w:val="55"/>
        <w:rPr>
          <w:rFonts w:hint="eastAsia"/>
          <w:color w:val="auto"/>
          <w:sz w:val="28"/>
          <w:szCs w:val="28"/>
          <w:highlight w:val="none"/>
          <w:lang w:val="en-US" w:eastAsia="zh-CN"/>
        </w:rPr>
      </w:pPr>
    </w:p>
    <w:p w14:paraId="4934B582">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lang w:eastAsia="zh-CN"/>
        </w:rPr>
        <w:t>单位</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铜陵铜冠建安新型环保建材科技有限公司</w:t>
      </w:r>
      <w:r>
        <w:rPr>
          <w:rFonts w:hint="eastAsia" w:asciiTheme="minorEastAsia" w:hAnsiTheme="minorEastAsia" w:eastAsiaTheme="minorEastAsia" w:cstheme="minorEastAsia"/>
          <w:b/>
          <w:bCs/>
          <w:color w:val="auto"/>
          <w:sz w:val="28"/>
          <w:szCs w:val="28"/>
          <w:highlight w:val="none"/>
        </w:rPr>
        <w:t>（盖章）</w:t>
      </w:r>
    </w:p>
    <w:p w14:paraId="158ADC50">
      <w:pPr>
        <w:pStyle w:val="55"/>
        <w:rPr>
          <w:color w:val="auto"/>
          <w:sz w:val="28"/>
          <w:szCs w:val="28"/>
          <w:highlight w:val="none"/>
        </w:rPr>
      </w:pPr>
    </w:p>
    <w:p w14:paraId="2F4F2016">
      <w:pPr>
        <w:rPr>
          <w:rFonts w:hint="eastAsia" w:asciiTheme="minorEastAsia" w:hAnsiTheme="minorEastAsia" w:eastAsiaTheme="minorEastAsia" w:cstheme="minorEastAsia"/>
          <w:b/>
          <w:bCs/>
          <w:color w:val="auto"/>
          <w:sz w:val="28"/>
          <w:szCs w:val="28"/>
          <w:highlight w:val="none"/>
          <w:u w:val="single"/>
        </w:rPr>
      </w:pPr>
      <w:r>
        <w:rPr>
          <w:rFonts w:hint="eastAsia" w:asciiTheme="minorEastAsia" w:hAnsiTheme="minorEastAsia" w:eastAsiaTheme="minorEastAsia" w:cstheme="minorEastAsia"/>
          <w:b/>
          <w:bCs/>
          <w:color w:val="auto"/>
          <w:sz w:val="28"/>
          <w:szCs w:val="28"/>
          <w:highlight w:val="none"/>
        </w:rPr>
        <w:t>联 系 人：</w:t>
      </w:r>
      <w:r>
        <w:rPr>
          <w:rFonts w:hint="eastAsia" w:asciiTheme="minorEastAsia" w:hAnsiTheme="minorEastAsia" w:eastAsiaTheme="minorEastAsia" w:cstheme="minorEastAsia"/>
          <w:b/>
          <w:bCs/>
          <w:color w:val="auto"/>
          <w:sz w:val="28"/>
          <w:szCs w:val="28"/>
          <w:highlight w:val="none"/>
          <w:u w:val="single"/>
          <w:lang w:val="en-US" w:eastAsia="zh-CN"/>
        </w:rPr>
        <w:t>陶叶玲</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13965204644</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陈晶</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18956266013</w:t>
      </w:r>
      <w:r>
        <w:rPr>
          <w:rFonts w:hint="eastAsia" w:asciiTheme="minorEastAsia" w:hAnsiTheme="minorEastAsia" w:eastAsiaTheme="minorEastAsia" w:cstheme="minorEastAsia"/>
          <w:b/>
          <w:bCs/>
          <w:color w:val="auto"/>
          <w:sz w:val="28"/>
          <w:szCs w:val="28"/>
          <w:highlight w:val="none"/>
          <w:u w:val="single"/>
        </w:rPr>
        <w:t>）</w:t>
      </w:r>
    </w:p>
    <w:p w14:paraId="133E430C">
      <w:pPr>
        <w:rPr>
          <w:rFonts w:hint="eastAsia" w:asciiTheme="minorEastAsia" w:hAnsiTheme="minorEastAsia" w:eastAsiaTheme="minorEastAsia" w:cstheme="minorEastAsia"/>
          <w:b/>
          <w:bCs/>
          <w:color w:val="auto"/>
          <w:sz w:val="28"/>
          <w:szCs w:val="28"/>
          <w:highlight w:val="none"/>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p w14:paraId="31CAD424">
      <w:pPr>
        <w:keepNext w:val="0"/>
        <w:keepLines w:val="0"/>
        <w:pageBreakBefore w:val="0"/>
        <w:widowControl w:val="0"/>
        <w:suppressLineNumbers w:val="0"/>
        <w:shd w:val="clear"/>
        <w:kinsoku/>
        <w:wordWrap/>
        <w:overflowPunct/>
        <w:topLinePunct w:val="0"/>
        <w:autoSpaceDE/>
        <w:autoSpaceDN/>
        <w:bidi w:val="0"/>
        <w:adjustRightInd/>
        <w:snapToGrid/>
        <w:spacing w:before="100" w:beforeAutospacing="1" w:after="100" w:afterAutospacing="1" w:line="400" w:lineRule="exact"/>
        <w:ind w:left="0" w:right="0" w:firstLine="490" w:firstLineChars="200"/>
        <w:jc w:val="both"/>
        <w:rPr>
          <w:rFonts w:hint="eastAsia" w:ascii="仿宋" w:hAnsi="仿宋" w:eastAsia="仿宋" w:cs="仿宋"/>
          <w:color w:val="auto"/>
          <w:sz w:val="24"/>
          <w:szCs w:val="24"/>
          <w:highlight w:val="none"/>
          <w:shd w:val="clear" w:fill="FFFF00"/>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根据公司2025年</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起实施的《铜冠建安公司采购管理办法》</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相关规定，</w:t>
      </w:r>
      <w:r>
        <w:rPr>
          <w:rFonts w:hint="eastAsia" w:ascii="仿宋" w:hAnsi="仿宋" w:eastAsia="仿宋" w:cs="仿宋"/>
          <w:color w:val="auto"/>
          <w:sz w:val="24"/>
          <w:szCs w:val="24"/>
          <w:highlight w:val="none"/>
          <w:lang w:val="en-US" w:eastAsia="zh-CN"/>
        </w:rPr>
        <w:t>铜陵铜冠建安新型环保建材科技有限公司</w:t>
      </w:r>
      <w:r>
        <w:rPr>
          <w:rFonts w:hint="eastAsia" w:ascii="仿宋" w:hAnsi="仿宋" w:eastAsia="仿宋" w:cs="仿宋"/>
          <w:color w:val="auto"/>
          <w:sz w:val="24"/>
          <w:szCs w:val="24"/>
          <w:highlight w:val="none"/>
        </w:rPr>
        <w:t>通过公司外网平台组织</w:t>
      </w:r>
      <w:r>
        <w:rPr>
          <w:rFonts w:hint="eastAsia" w:ascii="仿宋" w:hAnsi="仿宋" w:eastAsia="仿宋" w:cs="仿宋"/>
          <w:b/>
          <w:bCs/>
          <w:color w:val="auto"/>
          <w:sz w:val="24"/>
          <w:szCs w:val="24"/>
          <w:highlight w:val="none"/>
          <w:lang w:val="en-US" w:eastAsia="zh-CN"/>
        </w:rPr>
        <w:t>2026年度矿山充填胶凝材料运输业务</w:t>
      </w:r>
      <w:r>
        <w:rPr>
          <w:rFonts w:hint="eastAsia" w:ascii="仿宋" w:hAnsi="仿宋" w:eastAsia="仿宋" w:cs="仿宋"/>
          <w:color w:val="auto"/>
          <w:sz w:val="24"/>
          <w:szCs w:val="24"/>
          <w:highlight w:val="none"/>
          <w:shd w:val="clear"/>
        </w:rPr>
        <w:t>询比采购。 </w:t>
      </w:r>
    </w:p>
    <w:p w14:paraId="7B64F380">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2、</w:t>
      </w:r>
      <w:r>
        <w:rPr>
          <w:rFonts w:hint="eastAsia" w:ascii="仿宋" w:hAnsi="仿宋" w:eastAsia="仿宋" w:cs="仿宋"/>
          <w:color w:val="auto"/>
          <w:highlight w:val="none"/>
          <w:lang w:val="en-US" w:eastAsia="zh-CN"/>
        </w:rPr>
        <w:t>本次</w:t>
      </w:r>
      <w:r>
        <w:rPr>
          <w:rFonts w:hint="eastAsia" w:ascii="仿宋" w:hAnsi="仿宋" w:eastAsia="仿宋" w:cs="仿宋"/>
          <w:color w:val="auto"/>
          <w:highlight w:val="none"/>
        </w:rPr>
        <w:t>询比采购采取不见面评审。</w:t>
      </w:r>
    </w:p>
    <w:p w14:paraId="0B9F1475">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9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bCs/>
          <w:color w:val="auto"/>
          <w:highlight w:val="none"/>
          <w:lang w:val="en-US" w:eastAsia="zh-CN"/>
        </w:rPr>
        <w:t>3、</w:t>
      </w:r>
      <w:r>
        <w:rPr>
          <w:rFonts w:hint="eastAsia" w:ascii="仿宋" w:hAnsi="仿宋" w:eastAsia="仿宋" w:cs="仿宋"/>
          <w:b w:val="0"/>
          <w:bCs w:val="0"/>
          <w:color w:val="auto"/>
          <w:highlight w:val="none"/>
          <w:lang w:val="en-US" w:eastAsia="zh-CN"/>
        </w:rPr>
        <w:t>本次参与邀请竞价的单位，须在铜陵铜冠建安新型环保建材科技有限公司通过</w:t>
      </w:r>
      <w:r>
        <w:rPr>
          <w:rFonts w:hint="eastAsia" w:ascii="仿宋" w:hAnsi="仿宋" w:eastAsia="仿宋" w:cs="仿宋"/>
          <w:b/>
          <w:bCs/>
          <w:color w:val="auto"/>
          <w:highlight w:val="none"/>
          <w:lang w:val="en-US" w:eastAsia="zh-CN"/>
        </w:rPr>
        <w:t>鑫铜监理公司招标的运输合格供应商目录内（目前共5家单位）</w:t>
      </w:r>
      <w:r>
        <w:rPr>
          <w:rFonts w:hint="eastAsia" w:ascii="仿宋" w:hAnsi="仿宋" w:eastAsia="仿宋" w:cs="仿宋"/>
          <w:b w:val="0"/>
          <w:bCs w:val="0"/>
          <w:color w:val="auto"/>
          <w:highlight w:val="none"/>
          <w:lang w:val="en-US" w:eastAsia="zh-CN"/>
        </w:rPr>
        <w:t>。</w:t>
      </w:r>
    </w:p>
    <w:p w14:paraId="2F2EF43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日程安排</w:t>
      </w:r>
    </w:p>
    <w:p w14:paraId="03F629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p>
    <w:p w14:paraId="147D4B20">
      <w:pPr>
        <w:keepNext w:val="0"/>
        <w:keepLines w:val="0"/>
        <w:pageBreakBefore w:val="0"/>
        <w:numPr>
          <w:ilvl w:val="0"/>
          <w:numId w:val="0"/>
        </w:numPr>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递交地点：铜陵有色金属集团铜冠建筑安装股份有限公司</w:t>
      </w:r>
      <w:r>
        <w:rPr>
          <w:rFonts w:hint="eastAsia" w:ascii="仿宋" w:hAnsi="仿宋" w:eastAsia="仿宋" w:cs="仿宋"/>
          <w:color w:val="auto"/>
          <w:sz w:val="24"/>
          <w:szCs w:val="24"/>
          <w:highlight w:val="none"/>
          <w:lang w:eastAsia="zh-CN"/>
        </w:rPr>
        <w:t>四楼</w:t>
      </w:r>
      <w:r>
        <w:rPr>
          <w:rFonts w:hint="eastAsia" w:ascii="仿宋" w:hAnsi="仿宋" w:eastAsia="仿宋" w:cs="仿宋"/>
          <w:color w:val="auto"/>
          <w:sz w:val="24"/>
          <w:szCs w:val="24"/>
          <w:highlight w:val="none"/>
        </w:rPr>
        <w:t>经营部（</w:t>
      </w:r>
      <w:r>
        <w:rPr>
          <w:rFonts w:hint="eastAsia" w:ascii="仿宋" w:hAnsi="仿宋" w:eastAsia="仿宋" w:cs="仿宋"/>
          <w:color w:val="auto"/>
          <w:sz w:val="24"/>
          <w:szCs w:val="24"/>
          <w:highlight w:val="none"/>
          <w:u w:val="single"/>
        </w:rPr>
        <w:t>安徽省铜陵市黄山大道南段879号</w:t>
      </w:r>
      <w:r>
        <w:rPr>
          <w:rFonts w:hint="eastAsia" w:ascii="仿宋" w:hAnsi="仿宋" w:eastAsia="仿宋" w:cs="仿宋"/>
          <w:color w:val="auto"/>
          <w:sz w:val="24"/>
          <w:szCs w:val="24"/>
          <w:highlight w:val="none"/>
        </w:rPr>
        <w:t>）</w:t>
      </w:r>
    </w:p>
    <w:p w14:paraId="181C7DD5">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文件收件人：</w:t>
      </w:r>
      <w:r>
        <w:rPr>
          <w:rFonts w:hint="eastAsia" w:ascii="仿宋" w:hAnsi="仿宋" w:eastAsia="仿宋" w:cs="仿宋"/>
          <w:color w:val="auto"/>
          <w:sz w:val="24"/>
          <w:szCs w:val="24"/>
          <w:highlight w:val="none"/>
          <w:u w:val="single"/>
        </w:rPr>
        <w:t>黄赟（18656211500）</w:t>
      </w:r>
    </w:p>
    <w:p w14:paraId="01F0F1B2">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u w:val="single"/>
        </w:rPr>
        <w:t>日</w:t>
      </w:r>
    </w:p>
    <w:p w14:paraId="4AA0FD0B">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通知书时间：另行通知</w:t>
      </w:r>
    </w:p>
    <w:p w14:paraId="28F05505">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、签订合同时间：另行通知</w:t>
      </w:r>
    </w:p>
    <w:p w14:paraId="2277A6B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color w:val="auto"/>
          <w:sz w:val="24"/>
          <w:szCs w:val="24"/>
          <w:highlight w:val="none"/>
        </w:rPr>
      </w:pPr>
    </w:p>
    <w:p w14:paraId="4D7F403E">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内容</w:t>
      </w:r>
    </w:p>
    <w:p w14:paraId="5934AD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highlight w:val="none"/>
        </w:rPr>
      </w:pPr>
    </w:p>
    <w:p w14:paraId="7359411E">
      <w:pPr>
        <w:pStyle w:val="55"/>
        <w:keepNext w:val="0"/>
        <w:keepLines w:val="0"/>
        <w:pageBreakBefore w:val="0"/>
        <w:kinsoku/>
        <w:wordWrap/>
        <w:overflowPunct/>
        <w:topLinePunct w:val="0"/>
        <w:autoSpaceDE/>
        <w:autoSpaceDN/>
        <w:bidi w:val="0"/>
        <w:adjustRightInd/>
        <w:snapToGrid/>
        <w:spacing w:line="400" w:lineRule="exact"/>
        <w:ind w:left="0" w:leftChars="0" w:firstLine="49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val="en-US" w:eastAsia="zh-CN"/>
        </w:rPr>
        <w:t>询比采购</w:t>
      </w:r>
      <w:r>
        <w:rPr>
          <w:rFonts w:hint="eastAsia" w:ascii="仿宋" w:hAnsi="仿宋" w:eastAsia="仿宋" w:cs="仿宋"/>
          <w:color w:val="auto"/>
          <w:sz w:val="24"/>
          <w:szCs w:val="24"/>
          <w:highlight w:val="none"/>
          <w:u w:val="single"/>
        </w:rPr>
        <w:t>的具体内容如下：</w:t>
      </w:r>
      <w:r>
        <w:rPr>
          <w:rFonts w:hint="eastAsia" w:ascii="仿宋" w:hAnsi="仿宋" w:eastAsia="仿宋" w:cs="仿宋"/>
          <w:color w:val="auto"/>
          <w:highlight w:val="none"/>
          <w:u w:val="single"/>
          <w:lang w:val="en-US" w:eastAsia="zh-CN"/>
        </w:rPr>
        <w:t>2026年度矿山充填胶凝材料运输业务</w:t>
      </w:r>
      <w:r>
        <w:rPr>
          <w:rFonts w:hint="eastAsia" w:ascii="仿宋" w:hAnsi="仿宋" w:eastAsia="仿宋" w:cs="仿宋"/>
          <w:color w:val="auto"/>
          <w:highlight w:val="none"/>
          <w:u w:val="single"/>
          <w:shd w:val="clear"/>
        </w:rPr>
        <w:t>询</w:t>
      </w:r>
      <w:r>
        <w:rPr>
          <w:rFonts w:hint="eastAsia" w:ascii="仿宋" w:hAnsi="仿宋" w:eastAsia="仿宋" w:cs="仿宋"/>
          <w:color w:val="auto"/>
          <w:highlight w:val="none"/>
          <w:u w:val="single"/>
          <w:shd w:val="clear"/>
          <w:lang w:val="en-US" w:eastAsia="zh-CN"/>
        </w:rPr>
        <w:t>比</w:t>
      </w:r>
      <w:r>
        <w:rPr>
          <w:rFonts w:hint="eastAsia" w:ascii="仿宋" w:hAnsi="仿宋" w:eastAsia="仿宋" w:cs="仿宋"/>
          <w:color w:val="auto"/>
          <w:sz w:val="24"/>
          <w:szCs w:val="24"/>
          <w:highlight w:val="none"/>
          <w:u w:val="single"/>
          <w:shd w:val="clear"/>
          <w:lang w:val="en-US" w:eastAsia="zh-CN"/>
        </w:rPr>
        <w:t>采购</w:t>
      </w:r>
      <w:r>
        <w:rPr>
          <w:rFonts w:hint="eastAsia" w:ascii="仿宋" w:hAnsi="仿宋" w:eastAsia="仿宋" w:cs="仿宋"/>
          <w:color w:val="auto"/>
          <w:sz w:val="24"/>
          <w:szCs w:val="24"/>
          <w:highlight w:val="none"/>
          <w:u w:val="single"/>
          <w:lang w:val="en-US" w:eastAsia="zh-CN"/>
        </w:rPr>
        <w:t>（详见报价表）。</w:t>
      </w:r>
    </w:p>
    <w:p w14:paraId="385B0A4C">
      <w:pPr>
        <w:keepNext w:val="0"/>
        <w:keepLines w:val="0"/>
        <w:pageBreakBefore w:val="0"/>
        <w:kinsoku/>
        <w:wordWrap/>
        <w:overflowPunct/>
        <w:topLinePunct w:val="0"/>
        <w:autoSpaceDE/>
        <w:autoSpaceDN/>
        <w:bidi w:val="0"/>
        <w:adjustRightInd/>
        <w:snapToGrid/>
        <w:spacing w:line="400" w:lineRule="exact"/>
        <w:ind w:firstLine="490" w:firstLineChars="200"/>
        <w:jc w:val="left"/>
        <w:rPr>
          <w:rFonts w:hint="eastAsia" w:ascii="仿宋" w:hAnsi="仿宋" w:eastAsia="仿宋" w:cs="仿宋"/>
          <w:color w:val="auto"/>
          <w:sz w:val="24"/>
          <w:szCs w:val="24"/>
          <w:highlight w:val="none"/>
        </w:rPr>
      </w:pPr>
    </w:p>
    <w:p w14:paraId="5147E9AE">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说明：</w:t>
      </w:r>
    </w:p>
    <w:p w14:paraId="7EFBDF13">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该次</w:t>
      </w:r>
      <w:r>
        <w:rPr>
          <w:rFonts w:hint="eastAsia" w:ascii="仿宋" w:hAnsi="仿宋" w:eastAsia="仿宋" w:cs="仿宋"/>
          <w:color w:val="auto"/>
          <w:sz w:val="24"/>
          <w:szCs w:val="24"/>
          <w:highlight w:val="none"/>
          <w:u w:val="single"/>
          <w:lang w:val="en-US" w:eastAsia="zh-CN"/>
        </w:rPr>
        <w:t>询比采购运输量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招标单位</w:t>
      </w:r>
      <w:r>
        <w:rPr>
          <w:rFonts w:hint="eastAsia" w:ascii="仿宋" w:hAnsi="仿宋" w:eastAsia="仿宋" w:cs="仿宋"/>
          <w:color w:val="auto"/>
          <w:sz w:val="24"/>
          <w:szCs w:val="24"/>
          <w:highlight w:val="none"/>
        </w:rPr>
        <w:t>在现有条件下</w:t>
      </w:r>
      <w:r>
        <w:rPr>
          <w:rFonts w:hint="eastAsia" w:ascii="仿宋" w:hAnsi="仿宋" w:eastAsia="仿宋" w:cs="仿宋"/>
          <w:color w:val="auto"/>
          <w:sz w:val="24"/>
          <w:szCs w:val="24"/>
          <w:highlight w:val="none"/>
          <w:lang w:val="en-US" w:eastAsia="zh-CN"/>
        </w:rPr>
        <w:t>预估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量，此</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仅作为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和签订合同</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的依据，不作为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人最终</w:t>
      </w:r>
      <w:r>
        <w:rPr>
          <w:rFonts w:hint="eastAsia" w:ascii="仿宋" w:hAnsi="仿宋" w:eastAsia="仿宋" w:cs="仿宋"/>
          <w:color w:val="auto"/>
          <w:sz w:val="24"/>
          <w:szCs w:val="24"/>
          <w:highlight w:val="none"/>
          <w:lang w:val="en-US" w:eastAsia="zh-CN"/>
        </w:rPr>
        <w:t>胶凝材料运输总量</w:t>
      </w:r>
      <w:r>
        <w:rPr>
          <w:rFonts w:hint="eastAsia" w:ascii="仿宋" w:hAnsi="仿宋" w:eastAsia="仿宋" w:cs="仿宋"/>
          <w:color w:val="auto"/>
          <w:sz w:val="24"/>
          <w:szCs w:val="24"/>
          <w:highlight w:val="none"/>
        </w:rPr>
        <w:t>的依据，最终</w:t>
      </w:r>
      <w:r>
        <w:rPr>
          <w:rFonts w:hint="eastAsia" w:ascii="仿宋" w:hAnsi="仿宋" w:eastAsia="仿宋" w:cs="仿宋"/>
          <w:color w:val="auto"/>
          <w:sz w:val="24"/>
          <w:szCs w:val="24"/>
          <w:highlight w:val="none"/>
          <w:lang w:val="en-US" w:eastAsia="zh-CN"/>
        </w:rPr>
        <w:t>胶凝材料运输量</w:t>
      </w:r>
      <w:r>
        <w:rPr>
          <w:rFonts w:hint="eastAsia" w:ascii="仿宋" w:hAnsi="仿宋" w:eastAsia="仿宋" w:cs="仿宋"/>
          <w:color w:val="auto"/>
          <w:sz w:val="24"/>
          <w:szCs w:val="24"/>
          <w:highlight w:val="none"/>
        </w:rPr>
        <w:t>的增减丝毫不影响</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u w:val="none"/>
        </w:rPr>
        <w:t>报</w:t>
      </w:r>
      <w:r>
        <w:rPr>
          <w:rFonts w:hint="eastAsia" w:ascii="仿宋" w:hAnsi="仿宋" w:eastAsia="仿宋" w:cs="仿宋"/>
          <w:color w:val="auto"/>
          <w:sz w:val="24"/>
          <w:szCs w:val="24"/>
          <w:highlight w:val="none"/>
        </w:rPr>
        <w:t>价的效力。</w:t>
      </w:r>
    </w:p>
    <w:p w14:paraId="1C797921">
      <w:pPr>
        <w:spacing w:line="360" w:lineRule="auto"/>
        <w:ind w:firstLine="490" w:firstLineChars="200"/>
        <w:rPr>
          <w:rFonts w:hint="eastAsia" w:ascii="仿宋" w:hAnsi="仿宋" w:eastAsia="仿宋" w:cs="仿宋"/>
          <w:color w:val="auto"/>
          <w:sz w:val="24"/>
          <w:szCs w:val="24"/>
          <w:highlight w:val="none"/>
          <w:lang w:eastAsia="zh-CN"/>
        </w:rPr>
      </w:pPr>
    </w:p>
    <w:p w14:paraId="6DADDF1B">
      <w:pPr>
        <w:pStyle w:val="154"/>
        <w:keepNext w:val="0"/>
        <w:keepLines w:val="0"/>
        <w:pageBreakBefore w:val="0"/>
        <w:numPr>
          <w:ilvl w:val="0"/>
          <w:numId w:val="2"/>
        </w:numPr>
        <w:kinsoku/>
        <w:wordWrap/>
        <w:overflowPunct/>
        <w:topLinePunct w:val="0"/>
        <w:autoSpaceDE/>
        <w:autoSpaceDN/>
        <w:bidi w:val="0"/>
        <w:adjustRightInd/>
        <w:snapToGrid/>
        <w:spacing w:line="480" w:lineRule="exact"/>
        <w:ind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承运单位</w:t>
      </w:r>
      <w:r>
        <w:rPr>
          <w:rFonts w:hint="eastAsia" w:ascii="仿宋" w:hAnsi="仿宋" w:eastAsia="仿宋" w:cs="仿宋"/>
          <w:b/>
          <w:color w:val="auto"/>
          <w:sz w:val="24"/>
          <w:szCs w:val="24"/>
          <w:highlight w:val="none"/>
        </w:rPr>
        <w:t>资格要求</w:t>
      </w:r>
    </w:p>
    <w:p w14:paraId="568452DB">
      <w:pPr>
        <w:pStyle w:val="154"/>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 w:hAnsi="仿宋" w:eastAsia="仿宋" w:cs="仿宋"/>
          <w:b/>
          <w:color w:val="auto"/>
          <w:sz w:val="24"/>
          <w:szCs w:val="24"/>
          <w:highlight w:val="none"/>
        </w:rPr>
      </w:pPr>
    </w:p>
    <w:p w14:paraId="1043325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1、在中华人民共和国境内依法经国家工商、税务机关登记注册。</w:t>
      </w:r>
    </w:p>
    <w:p w14:paraId="3F7FF38E">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须为一般纳税人或小规模纳税人。</w:t>
      </w:r>
    </w:p>
    <w:p w14:paraId="4D89F0DE">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提供的相关资质证件均须在年审有效期内。</w:t>
      </w:r>
      <w:bookmarkStart w:id="4" w:name="_GoBack"/>
      <w:bookmarkEnd w:id="4"/>
    </w:p>
    <w:p w14:paraId="51B10B50">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近三年无重大失信和违法、违纪行为等不良记录。</w:t>
      </w:r>
    </w:p>
    <w:p w14:paraId="3C4BEAAC">
      <w:pPr>
        <w:keepNext w:val="0"/>
        <w:keepLines w:val="0"/>
        <w:pageBreakBefore w:val="0"/>
        <w:kinsoku/>
        <w:wordWrap/>
        <w:overflowPunct/>
        <w:topLinePunct w:val="0"/>
        <w:autoSpaceDE/>
        <w:autoSpaceDN/>
        <w:bidi w:val="0"/>
        <w:adjustRightInd/>
        <w:snapToGrid/>
        <w:spacing w:line="400" w:lineRule="exact"/>
        <w:ind w:firstLine="245"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5、承运商应具有较强的资金保障能力，注册资本金不低于50万元。</w:t>
      </w:r>
    </w:p>
    <w:p w14:paraId="793FC250">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6、本次参与邀请竞价的单位，须在铜陵铜冠建安新型环保建材科技有限公司通过鑫铜监理公司招标的运输合格供应商目录内（目前共5家单位）。</w:t>
      </w:r>
    </w:p>
    <w:p w14:paraId="3A15AF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参运车辆要求：（1）中标范围内所发生的承运车辆必须为竞价人自有产权车辆（产权车辆不得低于5辆，提供产权车辆清单表），能够满足委托人生产经营需要和要求，提供的车辆必须技术性能良好，符合业主货物运输要求，车辆相关运输证件合法、齐全、有效，车辆交强险、第三者责任险等承保保险险种齐全、有效；运输公司必须为从业人员购买意外伤害保险。（2）车辆类别需为罐式粉状物料运输车，额定载重量不低于30吨；（3）车辆需具备自行泵送物料的功能；（4）车辆必须具备道路运输资格，证件、保险手续齐全；（5）驾驶员必须持证上岗，无重大运输违法记录。</w:t>
      </w:r>
    </w:p>
    <w:p w14:paraId="23BEACB2">
      <w:pPr>
        <w:pStyle w:val="55"/>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仿宋" w:hAnsi="仿宋" w:eastAsia="仿宋" w:cs="仿宋"/>
          <w:color w:val="auto"/>
          <w:sz w:val="24"/>
          <w:szCs w:val="24"/>
          <w:highlight w:val="none"/>
        </w:rPr>
      </w:pPr>
    </w:p>
    <w:p w14:paraId="39791A83">
      <w:pPr>
        <w:keepNext w:val="0"/>
        <w:keepLines w:val="0"/>
        <w:pageBreakBefore w:val="0"/>
        <w:numPr>
          <w:ilvl w:val="0"/>
          <w:numId w:val="2"/>
        </w:numPr>
        <w:kinsoku/>
        <w:wordWrap/>
        <w:overflowPunct/>
        <w:topLinePunct w:val="0"/>
        <w:autoSpaceDE/>
        <w:autoSpaceDN/>
        <w:bidi w:val="0"/>
        <w:adjustRightInd/>
        <w:snapToGrid/>
        <w:spacing w:line="400" w:lineRule="exact"/>
        <w:ind w:left="750" w:leftChars="0" w:hanging="75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公告</w:t>
      </w:r>
      <w:r>
        <w:rPr>
          <w:rFonts w:hint="eastAsia" w:ascii="仿宋" w:hAnsi="仿宋" w:eastAsia="仿宋" w:cs="仿宋"/>
          <w:b/>
          <w:color w:val="auto"/>
          <w:sz w:val="24"/>
          <w:szCs w:val="24"/>
          <w:highlight w:val="none"/>
        </w:rPr>
        <w:t>发布的媒介及</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color w:val="auto"/>
          <w:sz w:val="24"/>
          <w:szCs w:val="24"/>
          <w:highlight w:val="none"/>
        </w:rPr>
        <w:t>公告的获取</w:t>
      </w:r>
    </w:p>
    <w:p w14:paraId="26D7D2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 w:hAnsi="仿宋" w:eastAsia="仿宋" w:cs="仿宋"/>
          <w:b/>
          <w:color w:val="auto"/>
          <w:sz w:val="24"/>
          <w:szCs w:val="24"/>
          <w:highlight w:val="none"/>
        </w:rPr>
      </w:pPr>
    </w:p>
    <w:p w14:paraId="08AD2B6D">
      <w:pPr>
        <w:keepNext w:val="0"/>
        <w:keepLines w:val="0"/>
        <w:pageBreakBefore w:val="0"/>
        <w:kinsoku/>
        <w:wordWrap/>
        <w:overflowPunct/>
        <w:topLinePunct w:val="0"/>
        <w:autoSpaceDE/>
        <w:autoSpaceDN/>
        <w:bidi w:val="0"/>
        <w:adjustRightInd/>
        <w:snapToGrid/>
        <w:spacing w:line="400" w:lineRule="exact"/>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公告（包括后期如有对</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文件所作的澄清、修改等。）将在铜冠建筑安装股份有限公司网（http://www.tltgja.com.cn/）在线</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公告请</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自行下载。</w:t>
      </w:r>
    </w:p>
    <w:p w14:paraId="637DBCED">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信息均以以上网站发布为准，其它任何形式的内容不作为</w:t>
      </w:r>
      <w:r>
        <w:rPr>
          <w:rFonts w:hint="eastAsia" w:ascii="仿宋" w:hAnsi="仿宋" w:eastAsia="仿宋" w:cs="仿宋"/>
          <w:color w:val="auto"/>
          <w:sz w:val="24"/>
          <w:szCs w:val="24"/>
          <w:highlight w:val="none"/>
          <w:lang w:val="en-US" w:eastAsia="zh-CN"/>
        </w:rPr>
        <w:t>采购公告</w:t>
      </w:r>
      <w:r>
        <w:rPr>
          <w:rFonts w:hint="eastAsia" w:ascii="仿宋" w:hAnsi="仿宋" w:eastAsia="仿宋" w:cs="仿宋"/>
          <w:color w:val="auto"/>
          <w:sz w:val="24"/>
          <w:szCs w:val="24"/>
          <w:highlight w:val="none"/>
        </w:rPr>
        <w:t>以及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的依据。</w:t>
      </w:r>
    </w:p>
    <w:p w14:paraId="2BA949B7">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p>
    <w:p w14:paraId="172CC1AB">
      <w:pPr>
        <w:keepNext w:val="0"/>
        <w:keepLines w:val="0"/>
        <w:pageBreakBefore w:val="0"/>
        <w:numPr>
          <w:ilvl w:val="0"/>
          <w:numId w:val="2"/>
        </w:numPr>
        <w:kinsoku/>
        <w:wordWrap/>
        <w:overflowPunct/>
        <w:topLinePunct w:val="0"/>
        <w:autoSpaceDE/>
        <w:autoSpaceDN/>
        <w:bidi w:val="0"/>
        <w:adjustRightInd/>
        <w:snapToGrid/>
        <w:spacing w:line="400" w:lineRule="exact"/>
        <w:ind w:left="750" w:leftChars="0" w:hanging="75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报名</w:t>
      </w:r>
    </w:p>
    <w:p w14:paraId="4CCF0E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 w:hAnsi="仿宋" w:eastAsia="仿宋" w:cs="仿宋"/>
          <w:b/>
          <w:bCs/>
          <w:color w:val="auto"/>
          <w:sz w:val="24"/>
          <w:szCs w:val="24"/>
          <w:highlight w:val="none"/>
        </w:rPr>
      </w:pPr>
    </w:p>
    <w:p w14:paraId="064FEA57">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1、各</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需在</w:t>
      </w:r>
      <w:r>
        <w:rPr>
          <w:rFonts w:hint="eastAsia" w:ascii="仿宋" w:hAnsi="仿宋" w:eastAsia="仿宋" w:cs="仿宋"/>
          <w:color w:val="auto"/>
          <w:sz w:val="24"/>
          <w:szCs w:val="24"/>
          <w:highlight w:val="none"/>
          <w:u w:val="none"/>
          <w:lang w:val="en-US" w:eastAsia="zh-CN"/>
        </w:rPr>
        <w:t>采购公告发布截止日</w:t>
      </w:r>
      <w:r>
        <w:rPr>
          <w:rFonts w:hint="eastAsia" w:ascii="仿宋" w:hAnsi="仿宋" w:eastAsia="仿宋" w:cs="仿宋"/>
          <w:color w:val="auto"/>
          <w:sz w:val="24"/>
          <w:szCs w:val="24"/>
          <w:highlight w:val="none"/>
        </w:rPr>
        <w:t>前至</w:t>
      </w:r>
      <w:r>
        <w:rPr>
          <w:rFonts w:hint="eastAsia" w:ascii="仿宋" w:hAnsi="仿宋" w:eastAsia="仿宋" w:cs="仿宋"/>
          <w:color w:val="auto"/>
          <w:sz w:val="24"/>
          <w:szCs w:val="24"/>
          <w:highlight w:val="none"/>
          <w:u w:val="single"/>
        </w:rPr>
        <w:t>铜冠建筑安装股份有限公司四楼</w:t>
      </w:r>
      <w:r>
        <w:rPr>
          <w:rFonts w:hint="eastAsia" w:ascii="仿宋" w:hAnsi="仿宋" w:eastAsia="仿宋" w:cs="仿宋"/>
          <w:color w:val="auto"/>
          <w:sz w:val="24"/>
          <w:szCs w:val="24"/>
          <w:highlight w:val="none"/>
          <w:u w:val="single"/>
          <w:lang w:val="en-US" w:eastAsia="zh-CN"/>
        </w:rPr>
        <w:t>工程部</w:t>
      </w:r>
      <w:r>
        <w:rPr>
          <w:rFonts w:hint="eastAsia" w:ascii="仿宋" w:hAnsi="仿宋" w:eastAsia="仿宋" w:cs="仿宋"/>
          <w:color w:val="auto"/>
          <w:sz w:val="24"/>
          <w:szCs w:val="24"/>
          <w:highlight w:val="none"/>
          <w:u w:val="single"/>
        </w:rPr>
        <w:t>报名。</w:t>
      </w:r>
    </w:p>
    <w:p w14:paraId="46F23DC1">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2、报名时</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需提供报名资料。</w:t>
      </w:r>
      <w:r>
        <w:rPr>
          <w:rFonts w:hint="eastAsia" w:ascii="仿宋" w:hAnsi="仿宋" w:eastAsia="仿宋" w:cs="仿宋"/>
          <w:color w:val="auto"/>
          <w:sz w:val="24"/>
          <w:szCs w:val="24"/>
          <w:highlight w:val="none"/>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公章（原章）。</w:t>
      </w:r>
    </w:p>
    <w:p w14:paraId="1015835A">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3、报名自采购公告发布之日起至2025年11月12日12:00止。</w:t>
      </w:r>
    </w:p>
    <w:p w14:paraId="46A1CEE1">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4、报名地点：</w:t>
      </w:r>
      <w:r>
        <w:rPr>
          <w:rFonts w:hint="eastAsia" w:ascii="仿宋" w:hAnsi="仿宋" w:eastAsia="仿宋" w:cs="仿宋"/>
          <w:color w:val="auto"/>
          <w:sz w:val="24"/>
          <w:szCs w:val="24"/>
          <w:highlight w:val="none"/>
          <w:u w:val="single"/>
        </w:rPr>
        <w:t>铜冠建筑安装股份有限公司四楼</w:t>
      </w:r>
      <w:r>
        <w:rPr>
          <w:rFonts w:hint="eastAsia" w:ascii="仿宋" w:hAnsi="仿宋" w:eastAsia="仿宋" w:cs="仿宋"/>
          <w:color w:val="auto"/>
          <w:sz w:val="24"/>
          <w:szCs w:val="24"/>
          <w:highlight w:val="none"/>
          <w:u w:val="single"/>
          <w:lang w:val="en-US" w:eastAsia="zh-CN"/>
        </w:rPr>
        <w:t>工程部</w:t>
      </w:r>
    </w:p>
    <w:p w14:paraId="0CCBC368">
      <w:pPr>
        <w:keepNext w:val="0"/>
        <w:keepLines w:val="0"/>
        <w:pageBreakBefore w:val="0"/>
        <w:kinsoku/>
        <w:wordWrap/>
        <w:overflowPunct/>
        <w:topLinePunct w:val="0"/>
        <w:autoSpaceDE/>
        <w:autoSpaceDN/>
        <w:bidi w:val="0"/>
        <w:adjustRightInd/>
        <w:snapToGrid/>
        <w:spacing w:line="520" w:lineRule="exact"/>
        <w:ind w:firstLine="490" w:firstLineChars="200"/>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color w:val="auto"/>
          <w:sz w:val="24"/>
          <w:szCs w:val="24"/>
          <w:highlight w:val="none"/>
        </w:rPr>
        <w:t>5、联 系 人：</w:t>
      </w:r>
      <w:r>
        <w:rPr>
          <w:rFonts w:hint="eastAsia" w:ascii="仿宋" w:hAnsi="仿宋" w:eastAsia="仿宋" w:cs="仿宋"/>
          <w:b w:val="0"/>
          <w:bCs w:val="0"/>
          <w:color w:val="auto"/>
          <w:sz w:val="24"/>
          <w:szCs w:val="24"/>
          <w:highlight w:val="none"/>
          <w:u w:val="single"/>
          <w:lang w:eastAsia="zh-CN"/>
        </w:rPr>
        <w:t>陶叶玲（13965204644）</w:t>
      </w:r>
    </w:p>
    <w:p w14:paraId="5958D2B0">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b w:val="0"/>
          <w:bCs w:val="0"/>
          <w:color w:val="auto"/>
          <w:sz w:val="24"/>
          <w:szCs w:val="24"/>
          <w:highlight w:val="none"/>
          <w:u w:val="single"/>
          <w:lang w:eastAsia="zh-CN"/>
        </w:rPr>
      </w:pPr>
    </w:p>
    <w:p w14:paraId="508BEAEE">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六、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p w14:paraId="469CB3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color w:val="auto"/>
          <w:sz w:val="24"/>
          <w:szCs w:val="24"/>
          <w:highlight w:val="none"/>
        </w:rPr>
      </w:pPr>
    </w:p>
    <w:p w14:paraId="6AA0455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1、响应文件递交的截止时间：</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u w:val="single"/>
          <w:lang w:eastAsia="zh-CN"/>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lang w:eastAsia="zh-CN"/>
        </w:rPr>
        <w:t>:00</w:t>
      </w:r>
    </w:p>
    <w:p w14:paraId="7247FF91">
      <w:pPr>
        <w:keepNext w:val="0"/>
        <w:keepLines w:val="0"/>
        <w:pageBreakBefore w:val="0"/>
        <w:widowControl w:val="0"/>
        <w:kinsoku/>
        <w:wordWrap/>
        <w:overflowPunct/>
        <w:topLinePunct w:val="0"/>
        <w:autoSpaceDE/>
        <w:autoSpaceDN/>
        <w:bidi w:val="0"/>
        <w:adjustRightInd/>
        <w:snapToGrid/>
        <w:spacing w:line="50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w:t>
      </w:r>
      <w:r>
        <w:rPr>
          <w:rFonts w:hint="eastAsia" w:ascii="仿宋" w:hAnsi="仿宋" w:eastAsia="仿宋" w:cs="仿宋"/>
          <w:color w:val="auto"/>
          <w:sz w:val="24"/>
          <w:szCs w:val="24"/>
          <w:highlight w:val="none"/>
          <w:u w:val="single"/>
        </w:rPr>
        <w:t>铜冠建筑安装股份有限公司四楼经营部（安徽省铜陵市黄山大道南段879号）</w:t>
      </w:r>
    </w:p>
    <w:p w14:paraId="51FD3069">
      <w:pPr>
        <w:keepNext w:val="0"/>
        <w:keepLines w:val="0"/>
        <w:pageBreakBefore w:val="0"/>
        <w:widowControl w:val="0"/>
        <w:kinsoku/>
        <w:wordWrap/>
        <w:overflowPunct/>
        <w:topLinePunct w:val="0"/>
        <w:autoSpaceDE/>
        <w:autoSpaceDN/>
        <w:bidi w:val="0"/>
        <w:adjustRightInd/>
        <w:snapToGrid/>
        <w:spacing w:line="50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u w:val="single"/>
        </w:rPr>
        <w:t>黄赟（18656211500）</w:t>
      </w:r>
    </w:p>
    <w:p w14:paraId="7A6A2BE6">
      <w:pPr>
        <w:keepNext w:val="0"/>
        <w:keepLines w:val="0"/>
        <w:pageBreakBefore w:val="0"/>
        <w:widowControl w:val="0"/>
        <w:kinsoku/>
        <w:wordWrap/>
        <w:overflowPunct/>
        <w:topLinePunct w:val="0"/>
        <w:autoSpaceDE/>
        <w:autoSpaceDN/>
        <w:bidi w:val="0"/>
        <w:adjustRightInd/>
        <w:snapToGrid/>
        <w:spacing w:line="50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4、逾期送达的或未按规定送达指定地点的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询比采购人</w:t>
      </w:r>
      <w:r>
        <w:rPr>
          <w:rFonts w:hint="eastAsia" w:ascii="仿宋" w:hAnsi="仿宋" w:eastAsia="仿宋" w:cs="仿宋"/>
          <w:color w:val="auto"/>
          <w:sz w:val="24"/>
          <w:szCs w:val="24"/>
          <w:highlight w:val="none"/>
        </w:rPr>
        <w:t>不予受理。</w:t>
      </w:r>
    </w:p>
    <w:p w14:paraId="4EF74B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sz w:val="24"/>
          <w:szCs w:val="24"/>
          <w:highlight w:val="none"/>
          <w:lang w:val="en-US" w:eastAsia="zh-CN"/>
        </w:rPr>
      </w:pPr>
    </w:p>
    <w:p w14:paraId="102111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w:t>
      </w:r>
    </w:p>
    <w:p w14:paraId="7DE121F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color w:val="auto"/>
          <w:sz w:val="24"/>
          <w:szCs w:val="24"/>
          <w:highlight w:val="none"/>
        </w:rPr>
      </w:pPr>
    </w:p>
    <w:p w14:paraId="587805CD">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1、与本次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lang w:val="en-US" w:eastAsia="zh-CN"/>
        </w:rPr>
        <w:t>胶凝材料运输的内容</w:t>
      </w:r>
    </w:p>
    <w:p w14:paraId="360E30EC">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shd w:val="clear" w:fill="FFFF00"/>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）运输项目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2026年度矿山充填胶凝材料运输业务</w:t>
      </w:r>
      <w:r>
        <w:rPr>
          <w:rFonts w:hint="eastAsia" w:ascii="仿宋" w:hAnsi="仿宋" w:eastAsia="仿宋" w:cs="仿宋"/>
          <w:color w:val="auto"/>
          <w:sz w:val="24"/>
          <w:szCs w:val="24"/>
          <w:highlight w:val="none"/>
        </w:rPr>
        <w:t>询比采购</w:t>
      </w:r>
    </w:p>
    <w:p w14:paraId="29974824">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）运输项目内容：运送胶凝材料至指定矿山，指定地点</w:t>
      </w:r>
    </w:p>
    <w:p w14:paraId="61EC6149">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计价方式：固定</w:t>
      </w:r>
      <w:r>
        <w:rPr>
          <w:rFonts w:hint="eastAsia" w:ascii="仿宋" w:hAnsi="仿宋" w:eastAsia="仿宋" w:cs="仿宋"/>
          <w:color w:val="auto"/>
          <w:sz w:val="24"/>
          <w:szCs w:val="24"/>
          <w:highlight w:val="none"/>
          <w:lang w:eastAsia="zh-CN"/>
        </w:rPr>
        <w:t>运</w:t>
      </w:r>
      <w:r>
        <w:rPr>
          <w:rFonts w:hint="eastAsia" w:ascii="仿宋" w:hAnsi="仿宋" w:eastAsia="仿宋" w:cs="仿宋"/>
          <w:color w:val="auto"/>
          <w:sz w:val="24"/>
          <w:szCs w:val="24"/>
          <w:highlight w:val="none"/>
        </w:rPr>
        <w:t>价</w:t>
      </w:r>
    </w:p>
    <w:p w14:paraId="1A0FEB64">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0256E651">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乙方应在每月21日提供当月结算清单（附《发货单》）至甲方商务部，配合甲方工作人员完成结算审核。审核后，乙方依据结算单在当月30日前开具9%增值税专用发票交甲方商务部，甲方商务部当月办理入账手续。</w:t>
      </w:r>
    </w:p>
    <w:p w14:paraId="418412E5">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3、运输费支付：甲方按上月入账金额在次月支付60%，2027年2月10日（一周内）付至80%,余款2027年12月31日（一周内）付清。</w:t>
      </w:r>
    </w:p>
    <w:p w14:paraId="5AEEB5DB">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方</w:t>
      </w:r>
      <w:r>
        <w:rPr>
          <w:rFonts w:hint="eastAsia" w:ascii="仿宋" w:hAnsi="仿宋" w:eastAsia="仿宋" w:cs="仿宋"/>
          <w:color w:val="auto"/>
          <w:sz w:val="24"/>
          <w:szCs w:val="24"/>
          <w:highlight w:val="none"/>
          <w:lang w:val="en-US" w:eastAsia="zh-CN"/>
        </w:rPr>
        <w:t>应按时提供当月全额结算单，不得遗漏统计《发货单》。如乙方</w:t>
      </w:r>
      <w:r>
        <w:rPr>
          <w:rFonts w:hint="eastAsia" w:ascii="仿宋" w:hAnsi="仿宋" w:eastAsia="仿宋" w:cs="仿宋"/>
          <w:color w:val="auto"/>
          <w:sz w:val="24"/>
          <w:szCs w:val="24"/>
          <w:highlight w:val="none"/>
          <w:lang w:eastAsia="zh-CN"/>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lang w:eastAsia="zh-CN"/>
        </w:rPr>
        <w:t>延期至下月办理,付款亦顺延，</w:t>
      </w:r>
      <w:r>
        <w:rPr>
          <w:rFonts w:hint="eastAsia" w:ascii="仿宋" w:hAnsi="仿宋" w:eastAsia="仿宋" w:cs="仿宋"/>
          <w:color w:val="auto"/>
          <w:sz w:val="24"/>
          <w:szCs w:val="24"/>
          <w:highlight w:val="none"/>
          <w:lang w:val="en-US" w:eastAsia="zh-CN"/>
        </w:rPr>
        <w:t>同时罚款 2000元/次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如由乙方原因造成漏单，次月补办时甲方有权扣除所漏《发货单》运输费的50%。</w:t>
      </w:r>
      <w:r>
        <w:rPr>
          <w:rFonts w:hint="eastAsia" w:ascii="仿宋" w:hAnsi="仿宋" w:eastAsia="仿宋" w:cs="仿宋"/>
          <w:color w:val="auto"/>
          <w:sz w:val="24"/>
          <w:szCs w:val="24"/>
          <w:highlight w:val="none"/>
          <w:lang w:eastAsia="zh-CN"/>
        </w:rPr>
        <w:t>无回单（运输联）或签收不符合要求不予结算运费。</w:t>
      </w:r>
    </w:p>
    <w:p w14:paraId="093B2313">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、报价相关要求</w:t>
      </w:r>
    </w:p>
    <w:p w14:paraId="48EA4A02">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（1）承运商报价为含税</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（税率</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p>
    <w:p w14:paraId="12C6CA8D">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在报价前应仔细审阅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公告、报价表及报价说明等与此次报价相关的所有资料。报价要谨慎，一旦</w:t>
      </w:r>
      <w:r>
        <w:rPr>
          <w:rFonts w:hint="eastAsia" w:ascii="仿宋" w:hAnsi="仿宋" w:eastAsia="仿宋" w:cs="仿宋"/>
          <w:color w:val="auto"/>
          <w:sz w:val="24"/>
          <w:szCs w:val="24"/>
          <w:highlight w:val="none"/>
          <w:lang w:eastAsia="zh-CN"/>
        </w:rPr>
        <w:t>确定为成交人</w:t>
      </w:r>
      <w:r>
        <w:rPr>
          <w:rFonts w:hint="eastAsia" w:ascii="仿宋" w:hAnsi="仿宋" w:eastAsia="仿宋" w:cs="仿宋"/>
          <w:color w:val="auto"/>
          <w:sz w:val="24"/>
          <w:szCs w:val="24"/>
          <w:highlight w:val="none"/>
        </w:rPr>
        <w:t>，视为理解并考虑了</w:t>
      </w:r>
      <w:r>
        <w:rPr>
          <w:rFonts w:hint="eastAsia" w:ascii="仿宋" w:hAnsi="仿宋" w:eastAsia="仿宋" w:cs="仿宋"/>
          <w:color w:val="auto"/>
          <w:sz w:val="24"/>
          <w:szCs w:val="24"/>
          <w:highlight w:val="none"/>
          <w:lang w:eastAsia="zh-CN"/>
        </w:rPr>
        <w:t>询比采购单位</w:t>
      </w:r>
      <w:r>
        <w:rPr>
          <w:rFonts w:hint="eastAsia" w:ascii="仿宋" w:hAnsi="仿宋" w:eastAsia="仿宋" w:cs="仿宋"/>
          <w:color w:val="auto"/>
          <w:sz w:val="24"/>
          <w:szCs w:val="24"/>
          <w:highlight w:val="none"/>
        </w:rPr>
        <w:t>要求的报价，不得以任何理由变更。</w:t>
      </w:r>
    </w:p>
    <w:p w14:paraId="0721C6B0">
      <w:pPr>
        <w:keepNext w:val="0"/>
        <w:keepLines w:val="0"/>
        <w:pageBreakBefore w:val="0"/>
        <w:widowControl w:val="0"/>
        <w:kinsoku/>
        <w:wordWrap/>
        <w:overflowPunct/>
        <w:topLinePunct w:val="0"/>
        <w:autoSpaceDE/>
        <w:autoSpaceDN/>
        <w:bidi w:val="0"/>
        <w:adjustRightInd/>
        <w:snapToGrid/>
        <w:spacing w:line="50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相关要求</w:t>
      </w:r>
    </w:p>
    <w:p w14:paraId="43300DD3">
      <w:pPr>
        <w:keepNext w:val="0"/>
        <w:keepLines w:val="0"/>
        <w:pageBreakBefore w:val="0"/>
        <w:widowControl w:val="0"/>
        <w:kinsoku/>
        <w:wordWrap/>
        <w:overflowPunct/>
        <w:topLinePunct w:val="0"/>
        <w:autoSpaceDE/>
        <w:autoSpaceDN/>
        <w:bidi w:val="0"/>
        <w:adjustRightInd/>
        <w:snapToGrid/>
        <w:spacing w:line="500" w:lineRule="exact"/>
        <w:ind w:firstLine="49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单位公章（原章）并作为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资料的一部分。以上事项不符合要求的视为无效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24CA4B67">
      <w:pPr>
        <w:keepNext w:val="0"/>
        <w:keepLines w:val="0"/>
        <w:pageBreakBefore w:val="0"/>
        <w:kinsoku/>
        <w:wordWrap/>
        <w:overflowPunct/>
        <w:topLinePunct w:val="0"/>
        <w:autoSpaceDE/>
        <w:autoSpaceDN/>
        <w:bidi w:val="0"/>
        <w:adjustRightInd/>
        <w:snapToGrid/>
        <w:spacing w:line="48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文件密封袋封口处应密封完整，加盖</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单位公章，并且注明</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编号及</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名称。因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制作、密封、寄送报价文件不符合要求的视为无效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630C83F2">
      <w:pPr>
        <w:keepNext w:val="0"/>
        <w:keepLines w:val="0"/>
        <w:pageBreakBefore w:val="0"/>
        <w:kinsoku/>
        <w:wordWrap/>
        <w:overflowPunct/>
        <w:topLinePunct w:val="0"/>
        <w:autoSpaceDE/>
        <w:autoSpaceDN/>
        <w:bidi w:val="0"/>
        <w:adjustRightInd/>
        <w:snapToGrid/>
        <w:spacing w:line="48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首次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时需提供加盖公章的营业执照副本的复印件及其它资质资料。</w:t>
      </w:r>
    </w:p>
    <w:p w14:paraId="121BAD39">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、交货地点</w:t>
      </w:r>
    </w:p>
    <w:p w14:paraId="6F0A7BF4">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胶凝材料运输</w:t>
      </w:r>
      <w:r>
        <w:rPr>
          <w:rFonts w:hint="eastAsia" w:ascii="仿宋" w:hAnsi="仿宋" w:eastAsia="仿宋" w:cs="仿宋"/>
          <w:color w:val="auto"/>
          <w:sz w:val="24"/>
          <w:szCs w:val="24"/>
          <w:highlight w:val="none"/>
          <w:u w:val="single"/>
        </w:rPr>
        <w:t>至指定地点。</w:t>
      </w:r>
    </w:p>
    <w:p w14:paraId="3BBFA810">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u w:val="single"/>
        </w:rPr>
        <w:t>的</w:t>
      </w:r>
      <w:r>
        <w:rPr>
          <w:rFonts w:hint="eastAsia" w:ascii="仿宋" w:hAnsi="仿宋" w:eastAsia="仿宋" w:cs="仿宋"/>
          <w:color w:val="auto"/>
          <w:sz w:val="24"/>
          <w:szCs w:val="24"/>
          <w:highlight w:val="none"/>
          <w:u w:val="single"/>
          <w:lang w:val="en-US" w:eastAsia="zh-CN"/>
        </w:rPr>
        <w:t>胶凝材料由承运商</w:t>
      </w:r>
      <w:r>
        <w:rPr>
          <w:rFonts w:hint="eastAsia" w:ascii="仿宋" w:hAnsi="仿宋" w:eastAsia="仿宋" w:cs="仿宋"/>
          <w:color w:val="auto"/>
          <w:sz w:val="24"/>
          <w:szCs w:val="24"/>
          <w:highlight w:val="none"/>
          <w:u w:val="single"/>
        </w:rPr>
        <w:t>负责运输。运输过程中未按相关安全、环保等要求所导致的一切安全生产事故由</w:t>
      </w:r>
      <w:r>
        <w:rPr>
          <w:rFonts w:hint="eastAsia" w:ascii="仿宋" w:hAnsi="仿宋" w:eastAsia="仿宋" w:cs="仿宋"/>
          <w:color w:val="auto"/>
          <w:sz w:val="24"/>
          <w:szCs w:val="24"/>
          <w:highlight w:val="none"/>
          <w:u w:val="single"/>
          <w:lang w:eastAsia="zh-CN"/>
        </w:rPr>
        <w:t>承运人</w:t>
      </w:r>
      <w:r>
        <w:rPr>
          <w:rFonts w:hint="eastAsia" w:ascii="仿宋" w:hAnsi="仿宋" w:eastAsia="仿宋" w:cs="仿宋"/>
          <w:color w:val="auto"/>
          <w:sz w:val="24"/>
          <w:szCs w:val="24"/>
          <w:highlight w:val="none"/>
          <w:u w:val="single"/>
        </w:rPr>
        <w:t>承担责任。</w:t>
      </w:r>
    </w:p>
    <w:p w14:paraId="6E7C42B5">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数量验收确认方式：</w:t>
      </w:r>
      <w:r>
        <w:rPr>
          <w:rFonts w:hint="eastAsia" w:ascii="仿宋" w:hAnsi="仿宋" w:eastAsia="仿宋" w:cs="仿宋"/>
          <w:color w:val="auto"/>
          <w:sz w:val="24"/>
          <w:szCs w:val="24"/>
          <w:highlight w:val="none"/>
          <w:u w:val="single"/>
          <w:lang w:eastAsia="zh-CN"/>
        </w:rPr>
        <w:t>以磅单最小值为准</w:t>
      </w:r>
      <w:r>
        <w:rPr>
          <w:rFonts w:hint="eastAsia" w:ascii="仿宋" w:hAnsi="仿宋" w:eastAsia="仿宋" w:cs="仿宋"/>
          <w:color w:val="auto"/>
          <w:sz w:val="24"/>
          <w:szCs w:val="24"/>
          <w:highlight w:val="none"/>
          <w:u w:val="single"/>
        </w:rPr>
        <w:t>。</w:t>
      </w:r>
    </w:p>
    <w:p w14:paraId="138C850E">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10、合同期内，如若市场油价较本次竞价比价时的油价涨跌幅度达10%以上，因此导致运输成本增加/减少的，在结算基价基础上按下列标准进行调整：</w:t>
      </w:r>
    </w:p>
    <w:tbl>
      <w:tblPr>
        <w:tblStyle w:val="46"/>
        <w:tblpPr w:leftFromText="180" w:rightFromText="180" w:vertAnchor="text" w:horzAnchor="page" w:tblpX="1226" w:tblpY="322"/>
        <w:tblOverlap w:val="never"/>
        <w:tblW w:w="9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948"/>
        <w:gridCol w:w="2005"/>
        <w:gridCol w:w="1773"/>
        <w:gridCol w:w="2195"/>
      </w:tblGrid>
      <w:tr w14:paraId="0B02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965" w:type="dxa"/>
            <w:noWrap w:val="0"/>
            <w:vAlign w:val="center"/>
          </w:tcPr>
          <w:p w14:paraId="79F62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基础价格（元）</w:t>
            </w:r>
          </w:p>
        </w:tc>
        <w:tc>
          <w:tcPr>
            <w:tcW w:w="1948" w:type="dxa"/>
            <w:noWrap w:val="0"/>
            <w:vAlign w:val="center"/>
          </w:tcPr>
          <w:p w14:paraId="06997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上浮区间（</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w:t>
            </w:r>
          </w:p>
        </w:tc>
        <w:tc>
          <w:tcPr>
            <w:tcW w:w="2005" w:type="dxa"/>
            <w:noWrap w:val="0"/>
            <w:vAlign w:val="center"/>
          </w:tcPr>
          <w:p w14:paraId="0C75D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上调价格（元）</w:t>
            </w:r>
          </w:p>
        </w:tc>
        <w:tc>
          <w:tcPr>
            <w:tcW w:w="1773" w:type="dxa"/>
            <w:noWrap w:val="0"/>
            <w:vAlign w:val="center"/>
          </w:tcPr>
          <w:p w14:paraId="53F9D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eastAsia="zh-CN"/>
              </w:rPr>
              <w:t>下浮区间（</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w:t>
            </w:r>
          </w:p>
        </w:tc>
        <w:tc>
          <w:tcPr>
            <w:tcW w:w="2195" w:type="dxa"/>
            <w:noWrap w:val="0"/>
            <w:vAlign w:val="center"/>
          </w:tcPr>
          <w:p w14:paraId="79DED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eastAsia="zh-CN"/>
              </w:rPr>
              <w:t>下调价格（元）</w:t>
            </w:r>
          </w:p>
        </w:tc>
      </w:tr>
      <w:tr w14:paraId="6102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5" w:type="dxa"/>
            <w:vMerge w:val="restart"/>
            <w:noWrap w:val="0"/>
            <w:vAlign w:val="center"/>
          </w:tcPr>
          <w:p w14:paraId="44FA2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基价</w:t>
            </w:r>
          </w:p>
        </w:tc>
        <w:tc>
          <w:tcPr>
            <w:tcW w:w="1948" w:type="dxa"/>
            <w:noWrap w:val="0"/>
            <w:vAlign w:val="center"/>
          </w:tcPr>
          <w:p w14:paraId="348754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11-20%</w:t>
            </w:r>
          </w:p>
        </w:tc>
        <w:tc>
          <w:tcPr>
            <w:tcW w:w="2005" w:type="dxa"/>
            <w:noWrap w:val="0"/>
            <w:vAlign w:val="center"/>
          </w:tcPr>
          <w:p w14:paraId="17B07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+0.5</w:t>
            </w:r>
          </w:p>
        </w:tc>
        <w:tc>
          <w:tcPr>
            <w:tcW w:w="1773" w:type="dxa"/>
            <w:noWrap w:val="0"/>
            <w:vAlign w:val="center"/>
          </w:tcPr>
          <w:p w14:paraId="75118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11-20%</w:t>
            </w:r>
          </w:p>
        </w:tc>
        <w:tc>
          <w:tcPr>
            <w:tcW w:w="2195" w:type="dxa"/>
            <w:noWrap w:val="0"/>
            <w:vAlign w:val="center"/>
          </w:tcPr>
          <w:p w14:paraId="2FF86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+0.5</w:t>
            </w:r>
          </w:p>
        </w:tc>
      </w:tr>
      <w:tr w14:paraId="494C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65" w:type="dxa"/>
            <w:vMerge w:val="continue"/>
            <w:noWrap w:val="0"/>
            <w:vAlign w:val="center"/>
          </w:tcPr>
          <w:p w14:paraId="6B82D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eastAsia="zh-CN"/>
              </w:rPr>
            </w:pPr>
          </w:p>
        </w:tc>
        <w:tc>
          <w:tcPr>
            <w:tcW w:w="1948" w:type="dxa"/>
            <w:noWrap w:val="0"/>
            <w:vAlign w:val="center"/>
          </w:tcPr>
          <w:p w14:paraId="570BB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21-30%</w:t>
            </w:r>
          </w:p>
        </w:tc>
        <w:tc>
          <w:tcPr>
            <w:tcW w:w="2005" w:type="dxa"/>
            <w:noWrap w:val="0"/>
            <w:vAlign w:val="center"/>
          </w:tcPr>
          <w:p w14:paraId="5AD43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773" w:type="dxa"/>
            <w:noWrap w:val="0"/>
            <w:vAlign w:val="center"/>
          </w:tcPr>
          <w:p w14:paraId="7D92DA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21-30%</w:t>
            </w:r>
          </w:p>
        </w:tc>
        <w:tc>
          <w:tcPr>
            <w:tcW w:w="2195" w:type="dxa"/>
            <w:noWrap w:val="0"/>
            <w:vAlign w:val="center"/>
          </w:tcPr>
          <w:p w14:paraId="53CC3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r>
      <w:tr w14:paraId="127C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886" w:type="dxa"/>
            <w:gridSpan w:val="5"/>
            <w:noWrap w:val="0"/>
            <w:vAlign w:val="center"/>
          </w:tcPr>
          <w:p w14:paraId="48D43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备注：当油价上浮</w:t>
            </w:r>
            <w:r>
              <w:rPr>
                <w:rFonts w:hint="eastAsia" w:ascii="仿宋" w:hAnsi="仿宋" w:eastAsia="仿宋" w:cs="仿宋"/>
                <w:color w:val="auto"/>
                <w:sz w:val="24"/>
                <w:szCs w:val="24"/>
                <w:highlight w:val="none"/>
                <w:vertAlign w:val="baseline"/>
                <w:lang w:val="en-US" w:eastAsia="zh-CN"/>
              </w:rPr>
              <w:t>/下浮超过30%以上，运输单价</w:t>
            </w:r>
            <w:r>
              <w:rPr>
                <w:rFonts w:hint="eastAsia" w:ascii="仿宋" w:hAnsi="仿宋" w:eastAsia="仿宋" w:cs="仿宋"/>
                <w:color w:val="auto"/>
                <w:sz w:val="24"/>
                <w:szCs w:val="24"/>
                <w:highlight w:val="none"/>
              </w:rPr>
              <w:t>双方</w:t>
            </w:r>
            <w:r>
              <w:rPr>
                <w:rFonts w:hint="eastAsia" w:ascii="仿宋" w:hAnsi="仿宋" w:eastAsia="仿宋" w:cs="仿宋"/>
                <w:color w:val="auto"/>
                <w:sz w:val="24"/>
                <w:szCs w:val="24"/>
                <w:highlight w:val="none"/>
                <w:lang w:eastAsia="zh-CN"/>
              </w:rPr>
              <w:t>再行</w:t>
            </w:r>
            <w:r>
              <w:rPr>
                <w:rFonts w:hint="eastAsia" w:ascii="仿宋" w:hAnsi="仿宋" w:eastAsia="仿宋" w:cs="仿宋"/>
                <w:color w:val="auto"/>
                <w:sz w:val="24"/>
                <w:szCs w:val="24"/>
                <w:highlight w:val="none"/>
              </w:rPr>
              <w:t>协商</w:t>
            </w:r>
            <w:r>
              <w:rPr>
                <w:rFonts w:hint="eastAsia" w:ascii="仿宋" w:hAnsi="仿宋" w:eastAsia="仿宋" w:cs="仿宋"/>
                <w:color w:val="auto"/>
                <w:sz w:val="24"/>
                <w:szCs w:val="24"/>
                <w:highlight w:val="none"/>
                <w:vertAlign w:val="baseline"/>
                <w:lang w:val="en-US" w:eastAsia="zh-CN"/>
              </w:rPr>
              <w:t>。</w:t>
            </w:r>
          </w:p>
        </w:tc>
      </w:tr>
    </w:tbl>
    <w:p w14:paraId="6BB9EDF6">
      <w:pPr>
        <w:pStyle w:val="55"/>
        <w:keepNext w:val="0"/>
        <w:keepLines w:val="0"/>
        <w:pageBreakBefore w:val="0"/>
        <w:kinsoku/>
        <w:wordWrap/>
        <w:overflowPunct/>
        <w:topLinePunct w:val="0"/>
        <w:autoSpaceDE/>
        <w:autoSpaceDN/>
        <w:bidi w:val="0"/>
        <w:adjustRightInd/>
        <w:snapToGrid/>
        <w:spacing w:line="480" w:lineRule="exact"/>
        <w:ind w:left="0" w:leftChars="0" w:firstLine="0" w:firstLineChars="0"/>
        <w:rPr>
          <w:rFonts w:hint="eastAsia" w:ascii="仿宋" w:hAnsi="仿宋" w:eastAsia="仿宋" w:cs="仿宋"/>
          <w:b/>
          <w:color w:val="auto"/>
          <w:sz w:val="24"/>
          <w:szCs w:val="24"/>
          <w:highlight w:val="none"/>
        </w:rPr>
      </w:pPr>
    </w:p>
    <w:p w14:paraId="3A2EE6E8">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及</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履约要求</w:t>
      </w:r>
    </w:p>
    <w:p w14:paraId="25DFE2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color w:val="auto"/>
          <w:sz w:val="24"/>
          <w:szCs w:val="24"/>
          <w:highlight w:val="none"/>
        </w:rPr>
      </w:pPr>
    </w:p>
    <w:p w14:paraId="2A3FC64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由铜冠建安公司纪委随机临时确定评委并组建的</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负责。</w:t>
      </w:r>
    </w:p>
    <w:p w14:paraId="67C94275">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14:paraId="7D04C973">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以价格为</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依据，采取“合理低价法”</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。即以经</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审核，剔除偏离市场行情较大的恶意报价后的报价进行排序，其中价格最低的报价单位为预</w:t>
      </w:r>
      <w:r>
        <w:rPr>
          <w:rFonts w:hint="eastAsia" w:ascii="仿宋" w:hAnsi="仿宋" w:eastAsia="仿宋" w:cs="仿宋"/>
          <w:color w:val="auto"/>
          <w:sz w:val="24"/>
          <w:szCs w:val="24"/>
          <w:highlight w:val="none"/>
          <w:u w:val="single"/>
          <w:lang w:eastAsia="zh-CN"/>
        </w:rPr>
        <w:t>成交人。</w:t>
      </w:r>
    </w:p>
    <w:p w14:paraId="19B7F038">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候选人推荐：</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依据</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结果推荐一名</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候选人。</w:t>
      </w:r>
    </w:p>
    <w:p w14:paraId="011B79EC">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760E9BE6">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不得再行订立背离本次</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实质性内容的其他协议。</w:t>
      </w:r>
    </w:p>
    <w:p w14:paraId="7E92C158">
      <w:pPr>
        <w:pStyle w:val="154"/>
        <w:keepNext w:val="0"/>
        <w:keepLines w:val="0"/>
        <w:pageBreakBefore w:val="0"/>
        <w:numPr>
          <w:ilvl w:val="0"/>
          <w:numId w:val="0"/>
        </w:numPr>
        <w:kinsoku/>
        <w:wordWrap/>
        <w:overflowPunct/>
        <w:topLinePunct w:val="0"/>
        <w:autoSpaceDE/>
        <w:autoSpaceDN/>
        <w:bidi w:val="0"/>
        <w:adjustRightInd/>
        <w:snapToGrid/>
        <w:spacing w:line="480" w:lineRule="exact"/>
        <w:ind w:leftChars="0"/>
        <w:jc w:val="center"/>
        <w:rPr>
          <w:rFonts w:hint="eastAsia" w:ascii="仿宋" w:hAnsi="仿宋" w:eastAsia="仿宋" w:cs="仿宋"/>
          <w:b/>
          <w:color w:val="auto"/>
          <w:sz w:val="24"/>
          <w:szCs w:val="24"/>
          <w:highlight w:val="none"/>
          <w:lang w:val="en-US" w:eastAsia="zh-CN"/>
        </w:rPr>
      </w:pPr>
    </w:p>
    <w:p w14:paraId="0BBEB5E3">
      <w:pPr>
        <w:pStyle w:val="154"/>
        <w:keepNext w:val="0"/>
        <w:keepLines w:val="0"/>
        <w:pageBreakBefore w:val="0"/>
        <w:numPr>
          <w:ilvl w:val="0"/>
          <w:numId w:val="3"/>
        </w:numPr>
        <w:kinsoku/>
        <w:wordWrap/>
        <w:overflowPunct/>
        <w:topLinePunct w:val="0"/>
        <w:autoSpaceDE/>
        <w:autoSpaceDN/>
        <w:bidi w:val="0"/>
        <w:adjustRightInd/>
        <w:snapToGrid/>
        <w:spacing w:line="480" w:lineRule="exact"/>
        <w:ind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纪律和监督</w:t>
      </w:r>
    </w:p>
    <w:p w14:paraId="1545F25F">
      <w:pPr>
        <w:pStyle w:val="154"/>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200"/>
        <w:jc w:val="both"/>
        <w:textAlignment w:val="auto"/>
        <w:rPr>
          <w:rFonts w:hint="eastAsia" w:ascii="仿宋" w:hAnsi="仿宋" w:eastAsia="仿宋" w:cs="仿宋"/>
          <w:b/>
          <w:color w:val="auto"/>
          <w:sz w:val="24"/>
          <w:szCs w:val="24"/>
          <w:highlight w:val="none"/>
        </w:rPr>
      </w:pPr>
    </w:p>
    <w:p w14:paraId="1F2A7F8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不得泄漏</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串通损害公司利益或者他人合法权益。</w:t>
      </w:r>
    </w:p>
    <w:p w14:paraId="31E24827">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，不得向</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成员行贿谋取中标，不得以他人名义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有上述行为的，</w:t>
      </w:r>
      <w:r>
        <w:rPr>
          <w:rFonts w:hint="eastAsia" w:ascii="仿宋" w:hAnsi="仿宋" w:eastAsia="仿宋" w:cs="仿宋"/>
          <w:color w:val="auto"/>
          <w:sz w:val="24"/>
          <w:szCs w:val="24"/>
          <w:highlight w:val="none"/>
          <w:u w:val="single"/>
        </w:rPr>
        <w:t>一经确认将取消其今后参加我公司的</w:t>
      </w:r>
      <w:r>
        <w:rPr>
          <w:rFonts w:hint="eastAsia" w:ascii="仿宋" w:hAnsi="仿宋" w:eastAsia="仿宋" w:cs="仿宋"/>
          <w:color w:val="auto"/>
          <w:sz w:val="24"/>
          <w:szCs w:val="24"/>
          <w:highlight w:val="none"/>
          <w:u w:val="single"/>
          <w:lang w:eastAsia="zh-CN"/>
        </w:rPr>
        <w:t>报价</w:t>
      </w:r>
      <w:r>
        <w:rPr>
          <w:rFonts w:hint="eastAsia" w:ascii="仿宋" w:hAnsi="仿宋" w:eastAsia="仿宋" w:cs="仿宋"/>
          <w:color w:val="auto"/>
          <w:sz w:val="24"/>
          <w:szCs w:val="24"/>
          <w:highlight w:val="none"/>
          <w:u w:val="single"/>
        </w:rPr>
        <w:t>资格，</w:t>
      </w:r>
      <w:r>
        <w:rPr>
          <w:rFonts w:hint="eastAsia" w:ascii="仿宋" w:hAnsi="仿宋" w:eastAsia="仿宋" w:cs="仿宋"/>
          <w:color w:val="auto"/>
          <w:sz w:val="24"/>
          <w:szCs w:val="24"/>
          <w:highlight w:val="none"/>
          <w:u w:val="single"/>
          <w:lang w:eastAsia="zh-CN"/>
        </w:rPr>
        <w:t>并</w:t>
      </w:r>
      <w:r>
        <w:rPr>
          <w:rFonts w:hint="eastAsia" w:ascii="仿宋" w:hAnsi="仿宋" w:eastAsia="仿宋" w:cs="仿宋"/>
          <w:color w:val="auto"/>
          <w:sz w:val="24"/>
          <w:szCs w:val="24"/>
          <w:highlight w:val="none"/>
          <w:u w:val="single"/>
        </w:rPr>
        <w:t>列入供应商黑名单。</w:t>
      </w:r>
    </w:p>
    <w:p w14:paraId="04BFD84F">
      <w:pPr>
        <w:spacing w:line="360" w:lineRule="auto"/>
        <w:jc w:val="both"/>
        <w:rPr>
          <w:rFonts w:hint="eastAsia" w:ascii="仿宋" w:hAnsi="仿宋" w:eastAsia="仿宋" w:cs="仿宋"/>
          <w:b/>
          <w:color w:val="auto"/>
          <w:sz w:val="24"/>
          <w:szCs w:val="24"/>
          <w:highlight w:val="none"/>
        </w:rPr>
      </w:pPr>
    </w:p>
    <w:p w14:paraId="165FBE1E">
      <w:pPr>
        <w:spacing w:line="360" w:lineRule="auto"/>
        <w:jc w:val="center"/>
        <w:rPr>
          <w:rFonts w:hint="eastAsia" w:ascii="仿宋" w:hAnsi="仿宋" w:eastAsia="仿宋" w:cs="仿宋"/>
          <w:b/>
          <w:color w:val="auto"/>
          <w:sz w:val="24"/>
          <w:szCs w:val="24"/>
          <w:highlight w:val="none"/>
        </w:rPr>
      </w:pPr>
    </w:p>
    <w:p w14:paraId="5B4B10B4">
      <w:pPr>
        <w:pStyle w:val="41"/>
        <w:keepNext w:val="0"/>
        <w:keepLines w:val="0"/>
        <w:widowControl/>
        <w:numPr>
          <w:ilvl w:val="0"/>
          <w:numId w:val="3"/>
        </w:numPr>
        <w:suppressLineNumbers w:val="0"/>
        <w:spacing w:before="0" w:beforeAutospacing="0" w:after="0" w:afterAutospacing="0" w:line="360" w:lineRule="auto"/>
        <w:ind w:left="0" w:leftChars="0" w:firstLine="490" w:firstLineChars="200"/>
        <w:jc w:val="center"/>
        <w:rPr>
          <w:rFonts w:ascii="仿宋" w:hAnsi="仿宋" w:eastAsia="仿宋" w:cs="仿宋"/>
          <w:b/>
          <w:bCs/>
          <w:sz w:val="24"/>
          <w:szCs w:val="24"/>
          <w:highlight w:val="none"/>
        </w:rPr>
      </w:pPr>
      <w:r>
        <w:rPr>
          <w:rFonts w:ascii="仿宋" w:hAnsi="仿宋" w:eastAsia="仿宋" w:cs="仿宋"/>
          <w:b/>
          <w:bCs/>
          <w:sz w:val="24"/>
          <w:szCs w:val="24"/>
          <w:highlight w:val="none"/>
        </w:rPr>
        <w:t>响应文件组成</w:t>
      </w:r>
    </w:p>
    <w:p w14:paraId="7F8EC0C9">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200"/>
        <w:jc w:val="both"/>
        <w:textAlignment w:val="auto"/>
        <w:rPr>
          <w:rFonts w:ascii="仿宋" w:hAnsi="仿宋" w:eastAsia="仿宋" w:cs="仿宋"/>
          <w:b/>
          <w:bCs/>
          <w:sz w:val="24"/>
          <w:szCs w:val="24"/>
          <w:highlight w:val="none"/>
        </w:rPr>
      </w:pPr>
    </w:p>
    <w:p w14:paraId="6AE9B52F">
      <w:pPr>
        <w:pStyle w:val="41"/>
        <w:keepNext w:val="0"/>
        <w:keepLines w:val="0"/>
        <w:widowControl/>
        <w:suppressLineNumbers w:val="0"/>
        <w:spacing w:before="0" w:beforeAutospacing="0" w:after="0" w:afterAutospacing="0" w:line="360" w:lineRule="auto"/>
        <w:ind w:firstLine="490" w:firstLineChars="200"/>
        <w:jc w:val="left"/>
        <w:rPr>
          <w:highlight w:val="none"/>
        </w:rPr>
      </w:pPr>
      <w:r>
        <w:rPr>
          <w:rFonts w:hint="eastAsia" w:ascii="仿宋" w:hAnsi="仿宋" w:eastAsia="仿宋" w:cs="仿宋"/>
          <w:sz w:val="24"/>
          <w:szCs w:val="24"/>
          <w:highlight w:val="none"/>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rPr>
          <w:highlight w:val="none"/>
        </w:rPr>
      </w:pPr>
      <w:r>
        <w:rPr>
          <w:rFonts w:hint="eastAsia" w:ascii="仿宋" w:hAnsi="仿宋" w:eastAsia="仿宋" w:cs="仿宋"/>
          <w:sz w:val="24"/>
          <w:szCs w:val="24"/>
          <w:highlight w:val="none"/>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rPr>
          <w:highlight w:val="none"/>
        </w:rPr>
      </w:pPr>
      <w:r>
        <w:rPr>
          <w:rFonts w:hint="eastAsia" w:ascii="仿宋" w:hAnsi="仿宋" w:eastAsia="仿宋" w:cs="仿宋"/>
          <w:sz w:val="24"/>
          <w:szCs w:val="24"/>
          <w:highlight w:val="none"/>
        </w:rPr>
        <w:t>3、企业营业执照复印件（需加盖公章）</w:t>
      </w:r>
    </w:p>
    <w:p w14:paraId="66CEF51E">
      <w:pPr>
        <w:pStyle w:val="41"/>
        <w:keepNext w:val="0"/>
        <w:keepLines w:val="0"/>
        <w:widowControl/>
        <w:suppressLineNumbers w:val="0"/>
        <w:spacing w:before="0" w:beforeAutospacing="0" w:after="0" w:afterAutospacing="0" w:line="360" w:lineRule="auto"/>
        <w:ind w:left="490" w:leftChars="228"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4、廉洁承诺书</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rPr>
          <w:highlight w:val="none"/>
        </w:rPr>
      </w:pPr>
      <w:r>
        <w:rPr>
          <w:rFonts w:hint="eastAsia" w:ascii="仿宋" w:hAnsi="仿宋" w:eastAsia="仿宋" w:cs="仿宋"/>
          <w:sz w:val="24"/>
          <w:szCs w:val="24"/>
          <w:highlight w:val="none"/>
          <w:lang w:val="en-US" w:eastAsia="zh-CN"/>
        </w:rPr>
        <w:t>5、竞价人自有产权车辆清单表</w:t>
      </w:r>
      <w:r>
        <w:rPr>
          <w:highlight w:val="none"/>
        </w:rPr>
        <w:br w:type="textWrapping"/>
      </w:r>
      <w:r>
        <w:rPr>
          <w:rFonts w:hint="eastAsia"/>
          <w:highlight w:val="none"/>
          <w:lang w:val="en-US"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运输</w:t>
      </w:r>
      <w:r>
        <w:rPr>
          <w:rFonts w:hint="eastAsia" w:ascii="仿宋" w:hAnsi="仿宋" w:eastAsia="仿宋" w:cs="仿宋"/>
          <w:sz w:val="24"/>
          <w:szCs w:val="24"/>
          <w:highlight w:val="none"/>
        </w:rPr>
        <w:t>询比报价单</w:t>
      </w:r>
    </w:p>
    <w:p w14:paraId="19B54653">
      <w:pPr>
        <w:spacing w:line="360" w:lineRule="auto"/>
        <w:jc w:val="center"/>
        <w:rPr>
          <w:rFonts w:hint="eastAsia" w:ascii="仿宋" w:hAnsi="仿宋" w:eastAsia="仿宋" w:cs="仿宋"/>
          <w:b/>
          <w:color w:val="auto"/>
          <w:sz w:val="24"/>
          <w:szCs w:val="24"/>
          <w:highlight w:val="none"/>
        </w:rPr>
      </w:pPr>
    </w:p>
    <w:p w14:paraId="4DBDDAAC">
      <w:pPr>
        <w:spacing w:line="360" w:lineRule="auto"/>
        <w:jc w:val="center"/>
        <w:rPr>
          <w:rFonts w:hint="eastAsia" w:ascii="仿宋" w:hAnsi="仿宋" w:eastAsia="仿宋" w:cs="仿宋"/>
          <w:b/>
          <w:color w:val="auto"/>
          <w:sz w:val="24"/>
          <w:szCs w:val="24"/>
          <w:highlight w:val="none"/>
        </w:rPr>
      </w:pPr>
    </w:p>
    <w:p w14:paraId="48F4178D">
      <w:pPr>
        <w:spacing w:line="360" w:lineRule="auto"/>
        <w:jc w:val="center"/>
        <w:rPr>
          <w:rFonts w:hint="eastAsia" w:ascii="仿宋" w:hAnsi="仿宋" w:eastAsia="仿宋" w:cs="仿宋"/>
          <w:b/>
          <w:color w:val="auto"/>
          <w:sz w:val="24"/>
          <w:szCs w:val="24"/>
          <w:highlight w:val="none"/>
        </w:rPr>
      </w:pPr>
    </w:p>
    <w:p w14:paraId="5C12A5BD">
      <w:pPr>
        <w:spacing w:line="360" w:lineRule="auto"/>
        <w:jc w:val="center"/>
        <w:rPr>
          <w:rFonts w:hint="eastAsia" w:ascii="仿宋" w:hAnsi="仿宋" w:eastAsia="仿宋" w:cs="仿宋"/>
          <w:b/>
          <w:color w:val="auto"/>
          <w:sz w:val="24"/>
          <w:szCs w:val="24"/>
          <w:highlight w:val="none"/>
        </w:rPr>
      </w:pPr>
    </w:p>
    <w:p w14:paraId="04C373B7">
      <w:pPr>
        <w:spacing w:line="360" w:lineRule="auto"/>
        <w:jc w:val="both"/>
        <w:rPr>
          <w:rFonts w:hint="eastAsia" w:ascii="仿宋" w:hAnsi="仿宋" w:eastAsia="仿宋" w:cs="仿宋"/>
          <w:b/>
          <w:color w:val="auto"/>
          <w:sz w:val="24"/>
          <w:szCs w:val="24"/>
          <w:highlight w:val="none"/>
        </w:rPr>
      </w:pPr>
    </w:p>
    <w:p w14:paraId="2B2A1A93">
      <w:pPr>
        <w:spacing w:line="360" w:lineRule="auto"/>
        <w:jc w:val="both"/>
        <w:rPr>
          <w:rFonts w:hint="eastAsia" w:ascii="仿宋" w:hAnsi="仿宋" w:eastAsia="仿宋" w:cs="仿宋"/>
          <w:b/>
          <w:color w:val="auto"/>
          <w:sz w:val="24"/>
          <w:szCs w:val="24"/>
          <w:highlight w:val="none"/>
        </w:rPr>
      </w:pPr>
    </w:p>
    <w:p w14:paraId="4DAB044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、法定代表人授权书</w:t>
      </w:r>
    </w:p>
    <w:p w14:paraId="78925DD1">
      <w:pPr>
        <w:spacing w:line="360" w:lineRule="auto"/>
        <w:jc w:val="center"/>
        <w:rPr>
          <w:rFonts w:hint="eastAsia" w:ascii="仿宋" w:hAnsi="仿宋" w:eastAsia="仿宋" w:cs="仿宋"/>
          <w:b/>
          <w:color w:val="auto"/>
          <w:sz w:val="24"/>
          <w:szCs w:val="24"/>
          <w:highlight w:val="none"/>
        </w:rPr>
      </w:pPr>
    </w:p>
    <w:p w14:paraId="1A6413CB">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（单位名称）（被授权委托人姓名 ）</w:t>
      </w:r>
      <w:r>
        <w:rPr>
          <w:rFonts w:hint="eastAsia" w:ascii="仿宋" w:hAnsi="仿宋" w:eastAsia="仿宋" w:cs="仿宋"/>
          <w:color w:val="auto"/>
          <w:sz w:val="24"/>
          <w:szCs w:val="24"/>
          <w:highlight w:val="none"/>
        </w:rPr>
        <w:t>为本公司合法代表人，就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 xml:space="preserve">，以本公司名义处理一切与之有关的事务。 </w:t>
      </w:r>
    </w:p>
    <w:p w14:paraId="11E85F14">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721659C0">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日签字生效， 特此声明。 </w:t>
      </w:r>
    </w:p>
    <w:p w14:paraId="083088EB">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2992EE9E">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代理人情况：</w:t>
      </w:r>
    </w:p>
    <w:p w14:paraId="50211E80">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6514EBED">
      <w:pPr>
        <w:spacing w:before="156" w:beforeLines="50" w:after="156" w:afterLines="50" w:line="360" w:lineRule="auto"/>
        <w:ind w:firstLine="49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职务/职称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57DA433">
      <w:pPr>
        <w:spacing w:before="156" w:beforeLines="50" w:after="156" w:afterLines="50" w:line="360" w:lineRule="auto"/>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4A58ACBF">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D148604">
      <w:pPr>
        <w:spacing w:before="156" w:beforeLines="50" w:after="156" w:afterLines="50" w:line="360" w:lineRule="auto"/>
        <w:rPr>
          <w:rFonts w:hint="eastAsia" w:ascii="仿宋" w:hAnsi="仿宋" w:eastAsia="仿宋" w:cs="仿宋"/>
          <w:color w:val="auto"/>
          <w:sz w:val="24"/>
          <w:szCs w:val="24"/>
          <w:highlight w:val="none"/>
        </w:rPr>
      </w:pPr>
    </w:p>
    <w:p w14:paraId="642B62A4">
      <w:pPr>
        <w:spacing w:before="156" w:beforeLines="50" w:after="156" w:afterLines="50" w:line="360" w:lineRule="auto"/>
        <w:ind w:firstLine="4165" w:firstLineChars="1700"/>
        <w:rPr>
          <w:rFonts w:hint="eastAsia" w:ascii="仿宋" w:hAnsi="仿宋" w:eastAsia="仿宋" w:cs="仿宋"/>
          <w:color w:val="auto"/>
          <w:sz w:val="24"/>
          <w:szCs w:val="24"/>
          <w:highlight w:val="none"/>
        </w:rPr>
      </w:pPr>
    </w:p>
    <w:p w14:paraId="1602FFA1">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4992C16B">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24A2D1B">
      <w:pPr>
        <w:spacing w:before="156" w:beforeLines="50" w:after="156" w:afterLines="50" w:line="360" w:lineRule="auto"/>
        <w:ind w:firstLine="6370" w:firstLineChars="26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587EE2DD">
      <w:pPr>
        <w:spacing w:line="360" w:lineRule="auto"/>
        <w:jc w:val="center"/>
        <w:rPr>
          <w:rFonts w:hint="eastAsia" w:ascii="仿宋" w:hAnsi="仿宋" w:eastAsia="仿宋" w:cs="仿宋"/>
          <w:b/>
          <w:color w:val="auto"/>
          <w:sz w:val="24"/>
          <w:szCs w:val="24"/>
          <w:highlight w:val="none"/>
        </w:rPr>
      </w:pPr>
    </w:p>
    <w:p w14:paraId="57F0A21E">
      <w:pPr>
        <w:spacing w:line="360" w:lineRule="auto"/>
        <w:jc w:val="center"/>
        <w:rPr>
          <w:rFonts w:hint="eastAsia" w:ascii="仿宋" w:hAnsi="仿宋" w:eastAsia="仿宋" w:cs="仿宋"/>
          <w:b/>
          <w:color w:val="auto"/>
          <w:sz w:val="24"/>
          <w:szCs w:val="24"/>
          <w:highlight w:val="none"/>
        </w:rPr>
      </w:pPr>
    </w:p>
    <w:p w14:paraId="5FC70B4D">
      <w:pPr>
        <w:spacing w:line="360" w:lineRule="auto"/>
        <w:jc w:val="both"/>
        <w:rPr>
          <w:rFonts w:hint="eastAsia" w:ascii="仿宋" w:hAnsi="仿宋" w:eastAsia="仿宋" w:cs="仿宋"/>
          <w:b/>
          <w:color w:val="auto"/>
          <w:sz w:val="24"/>
          <w:szCs w:val="24"/>
          <w:highlight w:val="none"/>
        </w:rPr>
      </w:pPr>
    </w:p>
    <w:p w14:paraId="37DF018D">
      <w:pPr>
        <w:spacing w:line="360" w:lineRule="auto"/>
        <w:jc w:val="both"/>
        <w:rPr>
          <w:rFonts w:hint="eastAsia" w:ascii="仿宋" w:hAnsi="仿宋" w:eastAsia="仿宋" w:cs="仿宋"/>
          <w:b/>
          <w:color w:val="auto"/>
          <w:sz w:val="24"/>
          <w:szCs w:val="24"/>
          <w:highlight w:val="none"/>
        </w:rPr>
      </w:pPr>
    </w:p>
    <w:p w14:paraId="130BB267">
      <w:pPr>
        <w:spacing w:line="360" w:lineRule="auto"/>
        <w:jc w:val="both"/>
        <w:rPr>
          <w:rFonts w:hint="eastAsia" w:ascii="仿宋" w:hAnsi="仿宋" w:eastAsia="仿宋" w:cs="仿宋"/>
          <w:b/>
          <w:color w:val="auto"/>
          <w:sz w:val="24"/>
          <w:szCs w:val="24"/>
          <w:highlight w:val="none"/>
        </w:rPr>
      </w:pPr>
    </w:p>
    <w:p w14:paraId="558F3BC6">
      <w:pPr>
        <w:spacing w:line="360" w:lineRule="auto"/>
        <w:jc w:val="both"/>
        <w:rPr>
          <w:rFonts w:hint="eastAsia" w:ascii="仿宋" w:hAnsi="仿宋" w:eastAsia="仿宋" w:cs="仿宋"/>
          <w:b/>
          <w:color w:val="auto"/>
          <w:sz w:val="24"/>
          <w:szCs w:val="24"/>
          <w:highlight w:val="none"/>
        </w:rPr>
      </w:pPr>
    </w:p>
    <w:p w14:paraId="001A83A8">
      <w:pPr>
        <w:spacing w:line="360" w:lineRule="auto"/>
        <w:jc w:val="center"/>
        <w:rPr>
          <w:rFonts w:hint="eastAsia" w:ascii="仿宋" w:hAnsi="仿宋" w:eastAsia="仿宋" w:cs="仿宋"/>
          <w:b/>
          <w:color w:val="auto"/>
          <w:sz w:val="24"/>
          <w:szCs w:val="24"/>
          <w:highlight w:val="none"/>
        </w:rPr>
      </w:pPr>
    </w:p>
    <w:p w14:paraId="2E0BEE0E">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、廉洁</w:t>
      </w:r>
      <w:r>
        <w:rPr>
          <w:rFonts w:hint="eastAsia" w:ascii="仿宋" w:hAnsi="仿宋" w:eastAsia="仿宋" w:cs="仿宋"/>
          <w:b/>
          <w:bCs/>
          <w:color w:val="auto"/>
          <w:sz w:val="24"/>
          <w:szCs w:val="24"/>
          <w:highlight w:val="none"/>
        </w:rPr>
        <w:t>承诺书</w:t>
      </w:r>
    </w:p>
    <w:p w14:paraId="39E7F372">
      <w:pPr>
        <w:spacing w:line="360" w:lineRule="auto"/>
        <w:ind w:firstLine="490" w:firstLineChars="200"/>
        <w:rPr>
          <w:rFonts w:hint="eastAsia" w:ascii="仿宋" w:hAnsi="仿宋" w:eastAsia="仿宋" w:cs="仿宋"/>
          <w:color w:val="auto"/>
          <w:sz w:val="24"/>
          <w:szCs w:val="24"/>
          <w:highlight w:val="none"/>
        </w:rPr>
      </w:pPr>
    </w:p>
    <w:p w14:paraId="48D92E44">
      <w:pPr>
        <w:spacing w:line="360" w:lineRule="auto"/>
        <w:ind w:firstLine="49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我单位于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，为加强</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管理和廉政建设，防止发生各种谋取不正当利益的违法违纪行为、规范双方的各项活动，保护当事人及所属公司的合法权益，供方承诺：</w:t>
      </w:r>
    </w:p>
    <w:p w14:paraId="6B0B8EEC">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人串通；</w:t>
      </w:r>
    </w:p>
    <w:p w14:paraId="024FD077">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不向</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人或</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46AC4A28">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62E524B1">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承诺不向</w:t>
      </w:r>
      <w:r>
        <w:rPr>
          <w:rFonts w:hint="eastAsia" w:ascii="仿宋" w:hAnsi="仿宋" w:eastAsia="仿宋" w:cs="仿宋"/>
          <w:color w:val="auto"/>
          <w:sz w:val="24"/>
          <w:szCs w:val="24"/>
          <w:highlight w:val="none"/>
          <w:lang w:eastAsia="zh-CN"/>
        </w:rPr>
        <w:t>询比采购人</w:t>
      </w:r>
      <w:r>
        <w:rPr>
          <w:rFonts w:hint="eastAsia" w:ascii="仿宋" w:hAnsi="仿宋" w:eastAsia="仿宋" w:cs="仿宋"/>
          <w:color w:val="auto"/>
          <w:sz w:val="24"/>
          <w:szCs w:val="24"/>
          <w:highlight w:val="none"/>
        </w:rPr>
        <w:t>及有关人员提供任何形式的财、物及请吃消费；</w:t>
      </w:r>
    </w:p>
    <w:p w14:paraId="1E9428D3">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承诺保证</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供应的数量、安全及环保符合贵公司要求。如果由于</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本身的数量、质量及</w:t>
      </w:r>
      <w:r>
        <w:rPr>
          <w:rFonts w:hint="eastAsia" w:ascii="仿宋" w:hAnsi="仿宋" w:eastAsia="仿宋" w:cs="仿宋"/>
          <w:color w:val="auto"/>
          <w:sz w:val="24"/>
          <w:szCs w:val="24"/>
          <w:highlight w:val="none"/>
          <w:lang w:val="en-US" w:eastAsia="zh-CN"/>
        </w:rPr>
        <w:t>进场</w:t>
      </w:r>
      <w:r>
        <w:rPr>
          <w:rFonts w:hint="eastAsia" w:ascii="仿宋" w:hAnsi="仿宋" w:eastAsia="仿宋" w:cs="仿宋"/>
          <w:color w:val="auto"/>
          <w:sz w:val="24"/>
          <w:szCs w:val="24"/>
          <w:highlight w:val="none"/>
        </w:rPr>
        <w:t>等问题而导致贵公司生产、施工发生工期延误等情况，所造成的相应直接、间接损失由我方承担，我方接受贵公司相应处罚，情节严重的愿承担相关法律责任。</w:t>
      </w:r>
    </w:p>
    <w:p w14:paraId="3896ADAE">
      <w:pPr>
        <w:spacing w:line="360" w:lineRule="auto"/>
        <w:ind w:firstLine="490" w:firstLineChars="200"/>
        <w:rPr>
          <w:rFonts w:hint="eastAsia" w:ascii="仿宋" w:hAnsi="仿宋" w:eastAsia="仿宋" w:cs="仿宋"/>
          <w:color w:val="auto"/>
          <w:sz w:val="24"/>
          <w:szCs w:val="24"/>
          <w:highlight w:val="none"/>
          <w:u w:val="single"/>
        </w:rPr>
      </w:pPr>
    </w:p>
    <w:p w14:paraId="50A60796">
      <w:pPr>
        <w:spacing w:line="360" w:lineRule="auto"/>
        <w:ind w:firstLine="4655" w:firstLineChars="1900"/>
        <w:rPr>
          <w:rFonts w:hint="eastAsia" w:ascii="仿宋" w:hAnsi="仿宋" w:eastAsia="仿宋" w:cs="仿宋"/>
          <w:color w:val="auto"/>
          <w:sz w:val="24"/>
          <w:szCs w:val="24"/>
          <w:highlight w:val="none"/>
        </w:rPr>
      </w:pPr>
    </w:p>
    <w:p w14:paraId="202D9625">
      <w:pPr>
        <w:spacing w:line="360" w:lineRule="auto"/>
        <w:ind w:firstLine="4410" w:firstLineChars="18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承诺方签字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14:paraId="659FF597">
      <w:pPr>
        <w:spacing w:line="360" w:lineRule="auto"/>
        <w:ind w:firstLine="441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3E904E71">
      <w:pPr>
        <w:spacing w:line="360" w:lineRule="auto"/>
        <w:ind w:firstLine="196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3E5A5967">
      <w:pPr>
        <w:pStyle w:val="55"/>
        <w:rPr>
          <w:rFonts w:hint="eastAsia" w:ascii="仿宋" w:hAnsi="仿宋" w:eastAsia="仿宋" w:cs="仿宋"/>
          <w:color w:val="auto"/>
          <w:sz w:val="24"/>
          <w:szCs w:val="24"/>
          <w:highlight w:val="none"/>
        </w:rPr>
      </w:pPr>
    </w:p>
    <w:p w14:paraId="693A6FB6">
      <w:pPr>
        <w:pStyle w:val="55"/>
        <w:rPr>
          <w:rFonts w:hint="eastAsia" w:ascii="仿宋" w:hAnsi="仿宋" w:eastAsia="仿宋" w:cs="仿宋"/>
          <w:color w:val="auto"/>
          <w:sz w:val="24"/>
          <w:szCs w:val="24"/>
          <w:highlight w:val="none"/>
        </w:rPr>
      </w:pPr>
    </w:p>
    <w:p w14:paraId="54D05AE1">
      <w:pPr>
        <w:pStyle w:val="55"/>
        <w:rPr>
          <w:rFonts w:hint="eastAsia" w:ascii="仿宋" w:hAnsi="仿宋" w:eastAsia="仿宋" w:cs="仿宋"/>
          <w:color w:val="auto"/>
          <w:sz w:val="24"/>
          <w:szCs w:val="24"/>
          <w:highlight w:val="none"/>
        </w:rPr>
      </w:pPr>
    </w:p>
    <w:p w14:paraId="7539C6E7">
      <w:pPr>
        <w:pStyle w:val="55"/>
        <w:rPr>
          <w:rFonts w:hint="eastAsia" w:ascii="仿宋" w:hAnsi="仿宋" w:eastAsia="仿宋" w:cs="仿宋"/>
          <w:color w:val="auto"/>
          <w:sz w:val="24"/>
          <w:szCs w:val="24"/>
          <w:highlight w:val="none"/>
        </w:rPr>
      </w:pPr>
    </w:p>
    <w:p w14:paraId="772C6324">
      <w:pPr>
        <w:pStyle w:val="55"/>
        <w:rPr>
          <w:rFonts w:hint="eastAsia" w:ascii="仿宋" w:hAnsi="仿宋" w:eastAsia="仿宋" w:cs="仿宋"/>
          <w:color w:val="auto"/>
          <w:sz w:val="24"/>
          <w:szCs w:val="24"/>
          <w:highlight w:val="none"/>
        </w:rPr>
      </w:pPr>
    </w:p>
    <w:p w14:paraId="3556348A">
      <w:pPr>
        <w:pStyle w:val="55"/>
        <w:rPr>
          <w:rFonts w:hint="eastAsia" w:ascii="仿宋" w:hAnsi="仿宋" w:eastAsia="仿宋" w:cs="仿宋"/>
          <w:color w:val="auto"/>
          <w:sz w:val="24"/>
          <w:szCs w:val="24"/>
          <w:highlight w:val="none"/>
        </w:rPr>
      </w:pPr>
    </w:p>
    <w:p w14:paraId="216FFCE0">
      <w:pPr>
        <w:pStyle w:val="55"/>
        <w:rPr>
          <w:rFonts w:hint="eastAsia" w:ascii="仿宋" w:hAnsi="仿宋" w:eastAsia="仿宋" w:cs="仿宋"/>
          <w:color w:val="auto"/>
          <w:sz w:val="24"/>
          <w:szCs w:val="24"/>
          <w:highlight w:val="none"/>
        </w:rPr>
      </w:pPr>
    </w:p>
    <w:p w14:paraId="3E39D76A">
      <w:pPr>
        <w:pStyle w:val="55"/>
        <w:rPr>
          <w:rFonts w:hint="eastAsia" w:ascii="仿宋" w:hAnsi="仿宋" w:eastAsia="仿宋" w:cs="仿宋"/>
          <w:color w:val="auto"/>
          <w:sz w:val="24"/>
          <w:szCs w:val="24"/>
          <w:highlight w:val="none"/>
        </w:rPr>
      </w:pPr>
    </w:p>
    <w:p w14:paraId="686C309D">
      <w:pPr>
        <w:pStyle w:val="55"/>
        <w:rPr>
          <w:rFonts w:hint="eastAsia" w:ascii="仿宋" w:hAnsi="仿宋" w:eastAsia="仿宋" w:cs="仿宋"/>
          <w:color w:val="auto"/>
          <w:sz w:val="24"/>
          <w:szCs w:val="24"/>
          <w:highlight w:val="none"/>
        </w:rPr>
      </w:pPr>
    </w:p>
    <w:p w14:paraId="67BFA840">
      <w:pPr>
        <w:pStyle w:val="55"/>
        <w:rPr>
          <w:rFonts w:hint="eastAsia" w:ascii="仿宋" w:hAnsi="仿宋" w:eastAsia="仿宋" w:cs="仿宋"/>
          <w:color w:val="auto"/>
          <w:sz w:val="24"/>
          <w:szCs w:val="24"/>
          <w:highlight w:val="none"/>
        </w:rPr>
      </w:pPr>
    </w:p>
    <w:p w14:paraId="193DBB7A">
      <w:pPr>
        <w:pStyle w:val="55"/>
        <w:ind w:left="0" w:leftChars="0" w:firstLine="0" w:firstLineChars="0"/>
        <w:rPr>
          <w:rFonts w:hint="eastAsia" w:ascii="仿宋" w:hAnsi="仿宋" w:eastAsia="仿宋" w:cs="仿宋"/>
          <w:color w:val="auto"/>
          <w:sz w:val="24"/>
          <w:szCs w:val="24"/>
          <w:highlight w:val="none"/>
        </w:rPr>
      </w:pPr>
    </w:p>
    <w:p w14:paraId="60E809CE">
      <w:pPr>
        <w:pStyle w:val="55"/>
        <w:ind w:left="0" w:leftChars="0" w:firstLine="0" w:firstLineChars="0"/>
        <w:rPr>
          <w:rFonts w:hint="eastAsia" w:ascii="仿宋" w:hAnsi="仿宋" w:eastAsia="仿宋" w:cs="仿宋"/>
          <w:color w:val="auto"/>
          <w:sz w:val="24"/>
          <w:szCs w:val="24"/>
          <w:highlight w:val="none"/>
        </w:rPr>
      </w:pPr>
    </w:p>
    <w:p w14:paraId="63DCA8C7">
      <w:pPr>
        <w:numPr>
          <w:ilvl w:val="0"/>
          <w:numId w:val="5"/>
        </w:numPr>
        <w:spacing w:line="360" w:lineRule="auto"/>
        <w:jc w:val="center"/>
        <w:rPr>
          <w:rFonts w:hint="eastAsia" w:ascii="仿宋" w:hAnsi="仿宋" w:eastAsia="仿宋" w:cs="仿宋"/>
          <w:b/>
          <w:color w:val="auto"/>
          <w:sz w:val="24"/>
          <w:szCs w:val="24"/>
          <w:highlight w:val="none"/>
        </w:rPr>
      </w:pPr>
      <w:bookmarkStart w:id="1" w:name="_Toc132638962"/>
      <w:r>
        <w:rPr>
          <w:rFonts w:hint="eastAsia" w:ascii="仿宋" w:hAnsi="仿宋" w:eastAsia="仿宋" w:cs="仿宋"/>
          <w:b/>
          <w:color w:val="auto"/>
          <w:sz w:val="24"/>
          <w:szCs w:val="24"/>
          <w:highlight w:val="none"/>
          <w:lang w:val="en-US" w:eastAsia="zh-CN"/>
        </w:rPr>
        <w:t>竞价人</w:t>
      </w:r>
      <w:r>
        <w:rPr>
          <w:rFonts w:hint="eastAsia" w:ascii="仿宋" w:hAnsi="仿宋" w:eastAsia="仿宋" w:cs="仿宋"/>
          <w:b/>
          <w:color w:val="auto"/>
          <w:sz w:val="24"/>
          <w:szCs w:val="24"/>
          <w:highlight w:val="none"/>
        </w:rPr>
        <w:t>自有产权车辆清单表</w:t>
      </w:r>
      <w:bookmarkEnd w:id="1"/>
    </w:p>
    <w:p w14:paraId="0F7DEF47">
      <w:pPr>
        <w:numPr>
          <w:ilvl w:val="0"/>
          <w:numId w:val="0"/>
        </w:numPr>
        <w:spacing w:line="360" w:lineRule="auto"/>
        <w:jc w:val="both"/>
        <w:rPr>
          <w:rFonts w:hint="eastAsia" w:ascii="仿宋" w:hAnsi="仿宋" w:eastAsia="仿宋" w:cs="仿宋"/>
          <w:b/>
          <w:color w:val="auto"/>
          <w:sz w:val="24"/>
          <w:szCs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626"/>
        <w:gridCol w:w="1305"/>
        <w:gridCol w:w="1525"/>
        <w:gridCol w:w="1275"/>
        <w:gridCol w:w="1715"/>
      </w:tblGrid>
      <w:tr w14:paraId="56CD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07C9FC0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626" w:type="dxa"/>
            <w:noWrap w:val="0"/>
            <w:vAlign w:val="center"/>
          </w:tcPr>
          <w:p w14:paraId="14255DF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车辆类型</w:t>
            </w:r>
          </w:p>
        </w:tc>
        <w:tc>
          <w:tcPr>
            <w:tcW w:w="1305" w:type="dxa"/>
            <w:noWrap w:val="0"/>
            <w:vAlign w:val="center"/>
          </w:tcPr>
          <w:p w14:paraId="2EDF96D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使用性质</w:t>
            </w:r>
          </w:p>
        </w:tc>
        <w:tc>
          <w:tcPr>
            <w:tcW w:w="1525" w:type="dxa"/>
            <w:noWrap w:val="0"/>
            <w:vAlign w:val="center"/>
          </w:tcPr>
          <w:p w14:paraId="6E6C2F4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品牌型号</w:t>
            </w:r>
          </w:p>
        </w:tc>
        <w:tc>
          <w:tcPr>
            <w:tcW w:w="1275" w:type="dxa"/>
            <w:noWrap w:val="0"/>
            <w:vAlign w:val="center"/>
          </w:tcPr>
          <w:p w14:paraId="76783F9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车辆号码</w:t>
            </w:r>
          </w:p>
        </w:tc>
        <w:tc>
          <w:tcPr>
            <w:tcW w:w="1715" w:type="dxa"/>
            <w:noWrap w:val="0"/>
            <w:vAlign w:val="center"/>
          </w:tcPr>
          <w:p w14:paraId="41462448">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r>
              <w:rPr>
                <w:rFonts w:hint="eastAsia" w:ascii="仿宋" w:hAnsi="仿宋" w:eastAsia="仿宋" w:cs="仿宋"/>
                <w:color w:val="auto"/>
                <w:sz w:val="24"/>
                <w:szCs w:val="24"/>
                <w:highlight w:val="none"/>
              </w:rPr>
              <w:t>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注</w:t>
            </w:r>
          </w:p>
        </w:tc>
      </w:tr>
      <w:tr w14:paraId="6BAB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711AB0E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26" w:type="dxa"/>
            <w:noWrap w:val="0"/>
            <w:vAlign w:val="center"/>
          </w:tcPr>
          <w:p w14:paraId="3C48AEC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罐  车</w:t>
            </w:r>
          </w:p>
        </w:tc>
        <w:tc>
          <w:tcPr>
            <w:tcW w:w="1305" w:type="dxa"/>
            <w:noWrap w:val="0"/>
            <w:vAlign w:val="center"/>
          </w:tcPr>
          <w:p w14:paraId="7C64472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商用</w:t>
            </w:r>
          </w:p>
        </w:tc>
        <w:tc>
          <w:tcPr>
            <w:tcW w:w="1525" w:type="dxa"/>
            <w:noWrap w:val="0"/>
            <w:vAlign w:val="center"/>
          </w:tcPr>
          <w:p w14:paraId="283F6B0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275" w:type="dxa"/>
            <w:noWrap w:val="0"/>
            <w:vAlign w:val="center"/>
          </w:tcPr>
          <w:p w14:paraId="361DE1D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皖G*****</w:t>
            </w:r>
          </w:p>
        </w:tc>
        <w:tc>
          <w:tcPr>
            <w:tcW w:w="1715" w:type="dxa"/>
            <w:noWrap w:val="0"/>
            <w:vAlign w:val="center"/>
          </w:tcPr>
          <w:p w14:paraId="11AE65B3">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r>
      <w:tr w14:paraId="7D3F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21BAA42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26" w:type="dxa"/>
            <w:noWrap w:val="0"/>
            <w:vAlign w:val="center"/>
          </w:tcPr>
          <w:p w14:paraId="4231B03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143D3E9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609C8BC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3E9E3E5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07A27D88">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r>
      <w:tr w14:paraId="2225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3DEEB51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26" w:type="dxa"/>
            <w:noWrap w:val="0"/>
            <w:vAlign w:val="center"/>
          </w:tcPr>
          <w:p w14:paraId="2B39A0D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6DD3F18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61EB795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7538883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2E0B6797">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r>
      <w:tr w14:paraId="66B3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18EE1B2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626" w:type="dxa"/>
            <w:noWrap w:val="0"/>
            <w:vAlign w:val="center"/>
          </w:tcPr>
          <w:p w14:paraId="40434DE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26815D9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099E016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2A348C1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627D2302">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r>
      <w:tr w14:paraId="1060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5BF22E9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626" w:type="dxa"/>
            <w:noWrap w:val="0"/>
            <w:vAlign w:val="center"/>
          </w:tcPr>
          <w:p w14:paraId="564FC71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5A063C2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3B652B7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0F8869E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034119DD">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1434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03CE20C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38CF564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271C434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200C841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530A89A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65E40CF9">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5009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3152965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28F3581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5D2CE5C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4D89A40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613B9E7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207583B5">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493B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05193EA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7FFA163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7902C8C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1A72748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0E811E8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6491D2A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264A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0DA9469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69265C9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4B6D6F2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3C4C8E2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5DB4665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20950EF9">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04D2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1F61065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0E28C58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4D5AB45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12345C1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1C306D6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77956D0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032D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4684255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01FBE5B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02CEC63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3791679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65656A9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79AE7D7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2D4F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752E9F6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43C3825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40AD70E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4FC873E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4629E77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5163348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6145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434E1E6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72453F2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00F0C6E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5A352C5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60BA36A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50F0DB37">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6315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1FF6D2E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7861E0A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0F91C63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2351E13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638AAAD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1CF2F6F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7E98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501CD77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3F77311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72490B7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3EFA581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29C4BED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3F46302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6803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75ACED5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626" w:type="dxa"/>
            <w:noWrap w:val="0"/>
            <w:vAlign w:val="center"/>
          </w:tcPr>
          <w:p w14:paraId="213CE50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47A7797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1C8C2D5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22DF4A1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248BC38C">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74E7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674454A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626" w:type="dxa"/>
            <w:noWrap w:val="0"/>
            <w:vAlign w:val="center"/>
          </w:tcPr>
          <w:p w14:paraId="1D9BD3A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2BADA2E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0F9AD44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0FADCDF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1665BBE8">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0C2D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14CF252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626" w:type="dxa"/>
            <w:noWrap w:val="0"/>
            <w:vAlign w:val="center"/>
          </w:tcPr>
          <w:p w14:paraId="3826423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305" w:type="dxa"/>
            <w:noWrap w:val="0"/>
            <w:vAlign w:val="center"/>
          </w:tcPr>
          <w:p w14:paraId="38E9AEB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525" w:type="dxa"/>
            <w:noWrap w:val="0"/>
            <w:vAlign w:val="center"/>
          </w:tcPr>
          <w:p w14:paraId="07D56FD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275" w:type="dxa"/>
            <w:noWrap w:val="0"/>
            <w:vAlign w:val="center"/>
          </w:tcPr>
          <w:p w14:paraId="4A74290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1715" w:type="dxa"/>
            <w:noWrap w:val="0"/>
            <w:vAlign w:val="center"/>
          </w:tcPr>
          <w:p w14:paraId="73ED2165">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bl>
    <w:p w14:paraId="7F93AE49">
      <w:pPr>
        <w:pStyle w:val="55"/>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注：须同时附车辆保险单、营运证、行驶证、车辆照片等相关材料扫描件。</w:t>
      </w:r>
    </w:p>
    <w:p w14:paraId="6B801E76">
      <w:pPr>
        <w:pStyle w:val="55"/>
        <w:rPr>
          <w:rFonts w:hint="eastAsia" w:ascii="仿宋" w:hAnsi="仿宋" w:eastAsia="仿宋" w:cs="仿宋"/>
          <w:color w:val="auto"/>
          <w:sz w:val="24"/>
          <w:szCs w:val="24"/>
          <w:highlight w:val="none"/>
        </w:rPr>
      </w:pPr>
    </w:p>
    <w:p w14:paraId="62FDDD60">
      <w:pPr>
        <w:pStyle w:val="55"/>
        <w:rPr>
          <w:rFonts w:hint="eastAsia" w:ascii="仿宋" w:hAnsi="仿宋" w:eastAsia="仿宋" w:cs="仿宋"/>
          <w:color w:val="auto"/>
          <w:sz w:val="24"/>
          <w:szCs w:val="24"/>
          <w:highlight w:val="none"/>
        </w:rPr>
      </w:pPr>
    </w:p>
    <w:p w14:paraId="38094C87">
      <w:pPr>
        <w:pStyle w:val="55"/>
        <w:ind w:left="0" w:leftChars="0" w:firstLine="0" w:firstLineChars="0"/>
        <w:rPr>
          <w:rFonts w:hint="eastAsia" w:ascii="仿宋" w:hAnsi="仿宋" w:eastAsia="仿宋" w:cs="仿宋"/>
          <w:color w:val="auto"/>
          <w:sz w:val="24"/>
          <w:szCs w:val="24"/>
          <w:highlight w:val="none"/>
        </w:rPr>
        <w:sectPr>
          <w:headerReference r:id="rId6" w:type="default"/>
          <w:pgSz w:w="11906" w:h="16838"/>
          <w:pgMar w:top="1417" w:right="1338" w:bottom="1417" w:left="1468" w:header="851" w:footer="272" w:gutter="283"/>
          <w:cols w:space="0" w:num="1"/>
          <w:rtlGutter w:val="0"/>
          <w:docGrid w:type="linesAndChars" w:linePitch="312" w:charSpace="1033"/>
        </w:sectPr>
      </w:pPr>
    </w:p>
    <w:p w14:paraId="60D63B8C">
      <w:pPr>
        <w:shd w:val="clear"/>
        <w:jc w:val="both"/>
        <w:rPr>
          <w:rFonts w:hint="eastAsia" w:ascii="仿宋" w:hAnsi="仿宋" w:eastAsia="仿宋" w:cs="仿宋"/>
          <w:b/>
          <w:bCs/>
          <w:color w:val="auto"/>
          <w:sz w:val="24"/>
          <w:szCs w:val="24"/>
          <w:highlight w:val="none"/>
          <w:u w:val="thick"/>
          <w:lang w:val="en-US" w:eastAsia="zh-CN" w:bidi="ar"/>
        </w:rPr>
      </w:pPr>
    </w:p>
    <w:p w14:paraId="18096585">
      <w:pPr>
        <w:shd w:val="clear"/>
        <w:jc w:val="center"/>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4"/>
          <w:szCs w:val="24"/>
          <w:highlight w:val="none"/>
          <w:u w:val="thick"/>
          <w:lang w:val="en-US" w:eastAsia="zh-CN" w:bidi="ar"/>
        </w:rPr>
        <w:t xml:space="preserve">铜陵铜冠建安新型环保建材科技有限公司2026年度矿山充填胶凝材料运输业务 </w:t>
      </w:r>
      <w:r>
        <w:rPr>
          <w:rFonts w:hint="eastAsia" w:ascii="仿宋" w:hAnsi="仿宋" w:eastAsia="仿宋" w:cs="仿宋"/>
          <w:b/>
          <w:bCs/>
          <w:color w:val="auto"/>
          <w:sz w:val="24"/>
          <w:szCs w:val="24"/>
          <w:highlight w:val="none"/>
          <w:u w:val="none"/>
          <w:lang w:val="en-US" w:eastAsia="zh-CN" w:bidi="ar"/>
        </w:rPr>
        <w:t>询比采购</w:t>
      </w:r>
      <w:r>
        <w:rPr>
          <w:rFonts w:hint="eastAsia" w:ascii="仿宋" w:hAnsi="仿宋" w:eastAsia="仿宋" w:cs="仿宋"/>
          <w:b/>
          <w:bCs/>
          <w:color w:val="auto"/>
          <w:sz w:val="24"/>
          <w:szCs w:val="24"/>
          <w:highlight w:val="none"/>
          <w:lang w:bidi="ar"/>
        </w:rPr>
        <w:t>报价</w:t>
      </w:r>
      <w:r>
        <w:rPr>
          <w:rFonts w:hint="eastAsia" w:ascii="仿宋" w:hAnsi="仿宋" w:eastAsia="仿宋" w:cs="仿宋"/>
          <w:b/>
          <w:bCs/>
          <w:color w:val="auto"/>
          <w:sz w:val="24"/>
          <w:szCs w:val="24"/>
          <w:highlight w:val="none"/>
          <w:lang w:val="en-US" w:eastAsia="zh-CN" w:bidi="ar"/>
        </w:rPr>
        <w:t>单</w:t>
      </w:r>
    </w:p>
    <w:p w14:paraId="4D452560">
      <w:pPr>
        <w:jc w:val="center"/>
        <w:rPr>
          <w:rFonts w:hint="default"/>
          <w:color w:val="auto"/>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r>
        <w:rPr>
          <w:rFonts w:hint="eastAsia"/>
          <w:color w:val="auto"/>
          <w:sz w:val="24"/>
          <w:szCs w:val="24"/>
          <w:highlight w:val="none"/>
          <w:lang w:val="en-US" w:eastAsia="zh-CN"/>
        </w:rPr>
        <w:t xml:space="preserve"> TGJA-JX-2025-055</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230"/>
        <w:gridCol w:w="1188"/>
        <w:gridCol w:w="1523"/>
        <w:gridCol w:w="545"/>
        <w:gridCol w:w="932"/>
        <w:gridCol w:w="1542"/>
        <w:gridCol w:w="1327"/>
        <w:gridCol w:w="1493"/>
        <w:gridCol w:w="2232"/>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864" w:type="dxa"/>
            <w:vMerge w:val="restart"/>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230" w:type="dxa"/>
            <w:vMerge w:val="restart"/>
            <w:noWrap w:val="0"/>
            <w:vAlign w:val="center"/>
          </w:tcPr>
          <w:p w14:paraId="31F1C35A">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起点</w:t>
            </w:r>
            <w:r>
              <w:rPr>
                <w:rFonts w:hint="eastAsia" w:ascii="仿宋" w:hAnsi="仿宋" w:eastAsia="仿宋" w:cs="仿宋"/>
                <w:b/>
                <w:color w:val="auto"/>
                <w:sz w:val="24"/>
                <w:szCs w:val="24"/>
                <w:highlight w:val="none"/>
                <w:lang w:val="en-US" w:eastAsia="zh-CN"/>
              </w:rPr>
              <w:t>-终点</w:t>
            </w:r>
          </w:p>
        </w:tc>
        <w:tc>
          <w:tcPr>
            <w:tcW w:w="1188" w:type="dxa"/>
            <w:vMerge w:val="restart"/>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1523" w:type="dxa"/>
            <w:vMerge w:val="restart"/>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预计距离</w:t>
            </w:r>
          </w:p>
          <w:p w14:paraId="50D2D87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km</w:t>
            </w:r>
            <w:r>
              <w:rPr>
                <w:rFonts w:hint="eastAsia" w:ascii="仿宋" w:hAnsi="仿宋" w:eastAsia="仿宋" w:cs="仿宋"/>
                <w:b/>
                <w:color w:val="auto"/>
                <w:sz w:val="24"/>
                <w:szCs w:val="24"/>
                <w:highlight w:val="none"/>
                <w:lang w:eastAsia="zh-CN"/>
              </w:rPr>
              <w:t>）</w:t>
            </w:r>
          </w:p>
        </w:tc>
        <w:tc>
          <w:tcPr>
            <w:tcW w:w="1477" w:type="dxa"/>
            <w:gridSpan w:val="2"/>
            <w:vMerge w:val="restart"/>
            <w:noWrap w:val="0"/>
            <w:vAlign w:val="center"/>
          </w:tcPr>
          <w:p w14:paraId="16A6634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w:t>
            </w:r>
          </w:p>
          <w:p w14:paraId="5E35EA4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（吨）</w:t>
            </w:r>
          </w:p>
        </w:tc>
        <w:tc>
          <w:tcPr>
            <w:tcW w:w="1542" w:type="dxa"/>
            <w:vMerge w:val="restart"/>
            <w:noWrap w:val="0"/>
            <w:vAlign w:val="center"/>
          </w:tcPr>
          <w:p w14:paraId="6D7DE75E">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78645F2B">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（元/吨）</w:t>
            </w:r>
          </w:p>
        </w:tc>
        <w:tc>
          <w:tcPr>
            <w:tcW w:w="2820" w:type="dxa"/>
            <w:gridSpan w:val="2"/>
            <w:noWrap w:val="0"/>
            <w:vAlign w:val="center"/>
          </w:tcPr>
          <w:p w14:paraId="572AEBF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2232" w:type="dxa"/>
            <w:vMerge w:val="restart"/>
            <w:noWrap w:val="0"/>
            <w:vAlign w:val="center"/>
          </w:tcPr>
          <w:p w14:paraId="2AF72DE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864" w:type="dxa"/>
            <w:vMerge w:val="continue"/>
            <w:noWrap w:val="0"/>
            <w:vAlign w:val="center"/>
          </w:tcPr>
          <w:p w14:paraId="6FFD35C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3230" w:type="dxa"/>
            <w:vMerge w:val="continue"/>
            <w:noWrap w:val="0"/>
            <w:vAlign w:val="center"/>
          </w:tcPr>
          <w:p w14:paraId="785F4B5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188" w:type="dxa"/>
            <w:vMerge w:val="continue"/>
            <w:noWrap w:val="0"/>
            <w:vAlign w:val="center"/>
          </w:tcPr>
          <w:p w14:paraId="4407F58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523" w:type="dxa"/>
            <w:vMerge w:val="continue"/>
            <w:noWrap w:val="0"/>
            <w:vAlign w:val="center"/>
          </w:tcPr>
          <w:p w14:paraId="246FD10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1477" w:type="dxa"/>
            <w:gridSpan w:val="2"/>
            <w:vMerge w:val="continue"/>
            <w:noWrap w:val="0"/>
            <w:vAlign w:val="center"/>
          </w:tcPr>
          <w:p w14:paraId="12FA54A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542" w:type="dxa"/>
            <w:vMerge w:val="continue"/>
            <w:noWrap w:val="0"/>
            <w:vAlign w:val="center"/>
          </w:tcPr>
          <w:p w14:paraId="6006336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327" w:type="dxa"/>
            <w:noWrap w:val="0"/>
            <w:vAlign w:val="center"/>
          </w:tcPr>
          <w:p w14:paraId="4EEC524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493" w:type="dxa"/>
            <w:noWrap w:val="0"/>
            <w:vAlign w:val="center"/>
          </w:tcPr>
          <w:p w14:paraId="5183959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2232" w:type="dxa"/>
            <w:vMerge w:val="continue"/>
            <w:noWrap w:val="0"/>
            <w:vAlign w:val="center"/>
          </w:tcPr>
          <w:p w14:paraId="582A223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21C1AE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bookmarkStart w:id="2" w:name="OLE_LINK1" w:colFirst="5" w:colLast="5"/>
            <w:bookmarkStart w:id="3" w:name="OLE_LINK2" w:colFirst="6" w:colLast="6"/>
            <w:r>
              <w:rPr>
                <w:rFonts w:hint="eastAsia" w:ascii="仿宋" w:hAnsi="仿宋" w:eastAsia="仿宋" w:cs="仿宋"/>
                <w:b w:val="0"/>
                <w:bCs/>
                <w:color w:val="auto"/>
                <w:sz w:val="24"/>
                <w:szCs w:val="24"/>
                <w:highlight w:val="none"/>
                <w:lang w:val="en-US" w:eastAsia="zh-CN"/>
              </w:rPr>
              <w:t>1</w:t>
            </w:r>
          </w:p>
        </w:tc>
        <w:tc>
          <w:tcPr>
            <w:tcW w:w="3230" w:type="dxa"/>
            <w:shd w:val="clear" w:color="auto" w:fill="auto"/>
            <w:noWrap w:val="0"/>
            <w:vAlign w:val="center"/>
          </w:tcPr>
          <w:p w14:paraId="75C8C22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铜冠建材-铜冠（庐江）矿业</w:t>
            </w:r>
          </w:p>
        </w:tc>
        <w:tc>
          <w:tcPr>
            <w:tcW w:w="1188" w:type="dxa"/>
            <w:shd w:val="clear" w:color="auto" w:fill="auto"/>
            <w:noWrap w:val="0"/>
            <w:vAlign w:val="center"/>
          </w:tcPr>
          <w:p w14:paraId="659AF173">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523" w:type="dxa"/>
            <w:shd w:val="clear" w:color="auto" w:fill="auto"/>
            <w:noWrap w:val="0"/>
            <w:vAlign w:val="center"/>
          </w:tcPr>
          <w:p w14:paraId="2200E20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95</w:t>
            </w:r>
          </w:p>
        </w:tc>
        <w:tc>
          <w:tcPr>
            <w:tcW w:w="1477" w:type="dxa"/>
            <w:gridSpan w:val="2"/>
            <w:shd w:val="clear" w:color="auto" w:fill="auto"/>
            <w:noWrap w:val="0"/>
            <w:vAlign w:val="center"/>
          </w:tcPr>
          <w:p w14:paraId="0C0825A2">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150000</w:t>
            </w:r>
          </w:p>
        </w:tc>
        <w:tc>
          <w:tcPr>
            <w:tcW w:w="1542" w:type="dxa"/>
            <w:shd w:val="clear" w:color="auto" w:fill="auto"/>
            <w:noWrap w:val="0"/>
            <w:vAlign w:val="center"/>
          </w:tcPr>
          <w:p w14:paraId="3576F19A">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29</w:t>
            </w:r>
          </w:p>
        </w:tc>
        <w:tc>
          <w:tcPr>
            <w:tcW w:w="1327" w:type="dxa"/>
            <w:shd w:val="clear" w:color="auto" w:fill="auto"/>
            <w:noWrap w:val="0"/>
            <w:vAlign w:val="center"/>
          </w:tcPr>
          <w:p w14:paraId="1677FA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493" w:type="dxa"/>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32" w:type="dxa"/>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r>
              <w:rPr>
                <w:rFonts w:hint="eastAsia" w:ascii="宋体" w:hAnsi="宋体" w:eastAsia="宋体" w:cs="宋体"/>
                <w:color w:val="auto"/>
                <w:kern w:val="0"/>
                <w:sz w:val="21"/>
                <w:szCs w:val="21"/>
                <w:highlight w:val="none"/>
                <w:vertAlign w:val="baseline"/>
                <w:lang w:val="en-US" w:eastAsia="zh-CN" w:bidi="ar"/>
              </w:rPr>
              <w:t>当前途经铜陵长江大桥一桥的费用，最高限价为29元；后续若需调整路线至铜陵长江大桥三桥，相关运费据实协商。</w:t>
            </w:r>
          </w:p>
        </w:tc>
      </w:tr>
      <w:tr w14:paraId="6CCC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741AA88D">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3230" w:type="dxa"/>
            <w:shd w:val="clear" w:color="auto" w:fill="auto"/>
            <w:noWrap w:val="0"/>
            <w:vAlign w:val="center"/>
          </w:tcPr>
          <w:p w14:paraId="57F17FB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铜冠建材-天马山矿业</w:t>
            </w:r>
          </w:p>
        </w:tc>
        <w:tc>
          <w:tcPr>
            <w:tcW w:w="1188" w:type="dxa"/>
            <w:shd w:val="clear" w:color="auto" w:fill="auto"/>
            <w:noWrap w:val="0"/>
            <w:vAlign w:val="center"/>
          </w:tcPr>
          <w:p w14:paraId="2C70755A">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523" w:type="dxa"/>
            <w:shd w:val="clear" w:color="auto" w:fill="auto"/>
            <w:noWrap w:val="0"/>
            <w:vAlign w:val="center"/>
          </w:tcPr>
          <w:p w14:paraId="3C393FE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w:t>
            </w:r>
          </w:p>
        </w:tc>
        <w:tc>
          <w:tcPr>
            <w:tcW w:w="1477" w:type="dxa"/>
            <w:gridSpan w:val="2"/>
            <w:shd w:val="clear" w:color="auto" w:fill="auto"/>
            <w:noWrap w:val="0"/>
            <w:vAlign w:val="center"/>
          </w:tcPr>
          <w:p w14:paraId="6A13921E">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12000</w:t>
            </w:r>
          </w:p>
        </w:tc>
        <w:tc>
          <w:tcPr>
            <w:tcW w:w="1542" w:type="dxa"/>
            <w:shd w:val="clear" w:color="auto" w:fill="auto"/>
            <w:noWrap w:val="0"/>
            <w:vAlign w:val="center"/>
          </w:tcPr>
          <w:p w14:paraId="420DE478">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w:t>
            </w:r>
          </w:p>
        </w:tc>
        <w:tc>
          <w:tcPr>
            <w:tcW w:w="1327" w:type="dxa"/>
            <w:shd w:val="clear" w:color="auto" w:fill="auto"/>
            <w:noWrap w:val="0"/>
            <w:vAlign w:val="center"/>
          </w:tcPr>
          <w:p w14:paraId="245521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493" w:type="dxa"/>
            <w:shd w:val="clear" w:color="auto" w:fill="auto"/>
            <w:noWrap w:val="0"/>
            <w:vAlign w:val="center"/>
          </w:tcPr>
          <w:p w14:paraId="48B62D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32" w:type="dxa"/>
            <w:shd w:val="clear" w:color="auto" w:fill="auto"/>
            <w:noWrap w:val="0"/>
            <w:vAlign w:val="center"/>
          </w:tcPr>
          <w:p w14:paraId="6FD1C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tr w14:paraId="4596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07484A2">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p>
        </w:tc>
        <w:tc>
          <w:tcPr>
            <w:tcW w:w="3230" w:type="dxa"/>
            <w:shd w:val="clear" w:color="auto" w:fill="auto"/>
            <w:noWrap w:val="0"/>
            <w:vAlign w:val="center"/>
          </w:tcPr>
          <w:p w14:paraId="3BA7A157">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铜冠建材-全鑫矿业</w:t>
            </w:r>
          </w:p>
        </w:tc>
        <w:tc>
          <w:tcPr>
            <w:tcW w:w="1188" w:type="dxa"/>
            <w:shd w:val="clear" w:color="auto" w:fill="auto"/>
            <w:noWrap w:val="0"/>
            <w:vAlign w:val="center"/>
          </w:tcPr>
          <w:p w14:paraId="3FFFBEB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523" w:type="dxa"/>
            <w:shd w:val="clear" w:color="auto" w:fill="auto"/>
            <w:noWrap w:val="0"/>
            <w:vAlign w:val="center"/>
          </w:tcPr>
          <w:p w14:paraId="73E3C43E">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128</w:t>
            </w:r>
          </w:p>
        </w:tc>
        <w:tc>
          <w:tcPr>
            <w:tcW w:w="1477" w:type="dxa"/>
            <w:gridSpan w:val="2"/>
            <w:shd w:val="clear" w:color="auto" w:fill="auto"/>
            <w:noWrap w:val="0"/>
            <w:vAlign w:val="center"/>
          </w:tcPr>
          <w:p w14:paraId="79526507">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5500</w:t>
            </w:r>
          </w:p>
        </w:tc>
        <w:tc>
          <w:tcPr>
            <w:tcW w:w="1542" w:type="dxa"/>
            <w:shd w:val="clear" w:color="auto" w:fill="auto"/>
            <w:noWrap w:val="0"/>
            <w:vAlign w:val="center"/>
          </w:tcPr>
          <w:p w14:paraId="56205DE8">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50</w:t>
            </w:r>
          </w:p>
        </w:tc>
        <w:tc>
          <w:tcPr>
            <w:tcW w:w="1327" w:type="dxa"/>
            <w:shd w:val="clear" w:color="auto" w:fill="auto"/>
            <w:noWrap w:val="0"/>
            <w:vAlign w:val="center"/>
          </w:tcPr>
          <w:p w14:paraId="412E66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493" w:type="dxa"/>
            <w:shd w:val="clear" w:color="auto" w:fill="auto"/>
            <w:noWrap w:val="0"/>
            <w:vAlign w:val="center"/>
          </w:tcPr>
          <w:p w14:paraId="6C3EAC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32" w:type="dxa"/>
            <w:shd w:val="clear" w:color="auto" w:fill="auto"/>
            <w:noWrap w:val="0"/>
            <w:vAlign w:val="center"/>
          </w:tcPr>
          <w:p w14:paraId="3CC33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tr w14:paraId="7B21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6A080C9">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p>
        </w:tc>
        <w:tc>
          <w:tcPr>
            <w:tcW w:w="3230" w:type="dxa"/>
            <w:shd w:val="clear" w:color="auto" w:fill="auto"/>
            <w:noWrap w:val="0"/>
            <w:vAlign w:val="center"/>
          </w:tcPr>
          <w:p w14:paraId="52D48D6F">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铜冠建材-宣城华通矿业</w:t>
            </w:r>
          </w:p>
        </w:tc>
        <w:tc>
          <w:tcPr>
            <w:tcW w:w="1188" w:type="dxa"/>
            <w:shd w:val="clear" w:color="auto" w:fill="auto"/>
            <w:noWrap w:val="0"/>
            <w:vAlign w:val="center"/>
          </w:tcPr>
          <w:p w14:paraId="046B2461">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523" w:type="dxa"/>
            <w:shd w:val="clear" w:color="auto" w:fill="auto"/>
            <w:noWrap w:val="0"/>
            <w:vAlign w:val="center"/>
          </w:tcPr>
          <w:p w14:paraId="6D12EBCC">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135</w:t>
            </w:r>
          </w:p>
        </w:tc>
        <w:tc>
          <w:tcPr>
            <w:tcW w:w="1477" w:type="dxa"/>
            <w:gridSpan w:val="2"/>
            <w:shd w:val="clear" w:color="auto" w:fill="auto"/>
            <w:noWrap w:val="0"/>
            <w:vAlign w:val="center"/>
          </w:tcPr>
          <w:p w14:paraId="6241239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3500</w:t>
            </w:r>
          </w:p>
        </w:tc>
        <w:tc>
          <w:tcPr>
            <w:tcW w:w="1542" w:type="dxa"/>
            <w:shd w:val="clear" w:color="auto" w:fill="auto"/>
            <w:noWrap w:val="0"/>
            <w:vAlign w:val="center"/>
          </w:tcPr>
          <w:p w14:paraId="22CCC712">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48</w:t>
            </w:r>
          </w:p>
        </w:tc>
        <w:tc>
          <w:tcPr>
            <w:tcW w:w="1327" w:type="dxa"/>
            <w:shd w:val="clear" w:color="auto" w:fill="auto"/>
            <w:noWrap w:val="0"/>
            <w:vAlign w:val="center"/>
          </w:tcPr>
          <w:p w14:paraId="108FCE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493" w:type="dxa"/>
            <w:shd w:val="clear" w:color="auto" w:fill="auto"/>
            <w:noWrap w:val="0"/>
            <w:vAlign w:val="center"/>
          </w:tcPr>
          <w:p w14:paraId="63E324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32" w:type="dxa"/>
            <w:shd w:val="clear" w:color="auto" w:fill="auto"/>
            <w:noWrap w:val="0"/>
            <w:vAlign w:val="center"/>
          </w:tcPr>
          <w:p w14:paraId="49491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tr w14:paraId="0D31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70D4AEAD">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3230" w:type="dxa"/>
            <w:shd w:val="clear" w:color="auto" w:fill="auto"/>
            <w:noWrap w:val="0"/>
            <w:vAlign w:val="center"/>
          </w:tcPr>
          <w:p w14:paraId="7C2775D0">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铜冠建材-铜山铜矿</w:t>
            </w:r>
          </w:p>
        </w:tc>
        <w:tc>
          <w:tcPr>
            <w:tcW w:w="1188" w:type="dxa"/>
            <w:shd w:val="clear" w:color="auto" w:fill="auto"/>
            <w:noWrap w:val="0"/>
            <w:vAlign w:val="center"/>
          </w:tcPr>
          <w:p w14:paraId="5FBACDE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523" w:type="dxa"/>
            <w:shd w:val="clear" w:color="auto" w:fill="auto"/>
            <w:noWrap w:val="0"/>
            <w:vAlign w:val="center"/>
          </w:tcPr>
          <w:p w14:paraId="11450606">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95</w:t>
            </w:r>
          </w:p>
        </w:tc>
        <w:tc>
          <w:tcPr>
            <w:tcW w:w="1477" w:type="dxa"/>
            <w:gridSpan w:val="2"/>
            <w:shd w:val="clear" w:color="auto" w:fill="auto"/>
            <w:noWrap w:val="0"/>
            <w:vAlign w:val="center"/>
          </w:tcPr>
          <w:p w14:paraId="4CA3372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12000</w:t>
            </w:r>
          </w:p>
        </w:tc>
        <w:tc>
          <w:tcPr>
            <w:tcW w:w="1542" w:type="dxa"/>
            <w:shd w:val="clear" w:color="auto" w:fill="auto"/>
            <w:noWrap w:val="0"/>
            <w:vAlign w:val="center"/>
          </w:tcPr>
          <w:p w14:paraId="1E19383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w:t>
            </w:r>
          </w:p>
        </w:tc>
        <w:tc>
          <w:tcPr>
            <w:tcW w:w="1327" w:type="dxa"/>
            <w:shd w:val="clear" w:color="auto" w:fill="auto"/>
            <w:noWrap w:val="0"/>
            <w:vAlign w:val="center"/>
          </w:tcPr>
          <w:p w14:paraId="6A2351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493" w:type="dxa"/>
            <w:shd w:val="clear" w:color="auto" w:fill="auto"/>
            <w:noWrap w:val="0"/>
            <w:vAlign w:val="center"/>
          </w:tcPr>
          <w:p w14:paraId="24A4DE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32" w:type="dxa"/>
            <w:shd w:val="clear" w:color="auto" w:fill="auto"/>
            <w:noWrap w:val="0"/>
            <w:vAlign w:val="center"/>
          </w:tcPr>
          <w:p w14:paraId="6BBA8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tr w14:paraId="43BF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2E93E0D0">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w:t>
            </w:r>
          </w:p>
        </w:tc>
        <w:tc>
          <w:tcPr>
            <w:tcW w:w="3230" w:type="dxa"/>
            <w:shd w:val="clear" w:color="auto" w:fill="auto"/>
            <w:noWrap w:val="0"/>
            <w:vAlign w:val="center"/>
          </w:tcPr>
          <w:p w14:paraId="64F2A1C2">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铜冠建材-宏均矿业</w:t>
            </w:r>
          </w:p>
        </w:tc>
        <w:tc>
          <w:tcPr>
            <w:tcW w:w="1188" w:type="dxa"/>
            <w:shd w:val="clear" w:color="auto" w:fill="auto"/>
            <w:noWrap w:val="0"/>
            <w:vAlign w:val="center"/>
          </w:tcPr>
          <w:p w14:paraId="0CEF9430">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523" w:type="dxa"/>
            <w:shd w:val="clear" w:color="auto" w:fill="auto"/>
            <w:noWrap w:val="0"/>
            <w:vAlign w:val="center"/>
          </w:tcPr>
          <w:p w14:paraId="4A56B9D7">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145</w:t>
            </w:r>
          </w:p>
        </w:tc>
        <w:tc>
          <w:tcPr>
            <w:tcW w:w="1477" w:type="dxa"/>
            <w:gridSpan w:val="2"/>
            <w:shd w:val="clear" w:color="auto" w:fill="auto"/>
            <w:noWrap w:val="0"/>
            <w:vAlign w:val="center"/>
          </w:tcPr>
          <w:p w14:paraId="408D8DF3">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1000</w:t>
            </w:r>
          </w:p>
        </w:tc>
        <w:tc>
          <w:tcPr>
            <w:tcW w:w="1542" w:type="dxa"/>
            <w:shd w:val="clear" w:color="auto" w:fill="auto"/>
            <w:noWrap w:val="0"/>
            <w:vAlign w:val="center"/>
          </w:tcPr>
          <w:p w14:paraId="51C61754">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50</w:t>
            </w:r>
          </w:p>
        </w:tc>
        <w:tc>
          <w:tcPr>
            <w:tcW w:w="1327" w:type="dxa"/>
            <w:shd w:val="clear" w:color="auto" w:fill="auto"/>
            <w:noWrap w:val="0"/>
            <w:vAlign w:val="center"/>
          </w:tcPr>
          <w:p w14:paraId="490EDE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493" w:type="dxa"/>
            <w:shd w:val="clear" w:color="auto" w:fill="auto"/>
            <w:noWrap w:val="0"/>
            <w:vAlign w:val="center"/>
          </w:tcPr>
          <w:p w14:paraId="1C15FC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32" w:type="dxa"/>
            <w:shd w:val="clear" w:color="auto" w:fill="auto"/>
            <w:noWrap w:val="0"/>
            <w:vAlign w:val="center"/>
          </w:tcPr>
          <w:p w14:paraId="28C64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bookmarkEnd w:id="2"/>
      <w:bookmarkEnd w:id="3"/>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350" w:type="dxa"/>
            <w:gridSpan w:val="5"/>
            <w:noWrap w:val="0"/>
            <w:vAlign w:val="center"/>
          </w:tcPr>
          <w:p w14:paraId="0DB8B3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val="0"/>
                <w:color w:val="auto"/>
                <w:sz w:val="24"/>
                <w:szCs w:val="24"/>
                <w:highlight w:val="none"/>
                <w:lang w:val="en-US" w:eastAsia="zh-CN"/>
              </w:rPr>
              <w:t>最高限价合计</w:t>
            </w:r>
          </w:p>
        </w:tc>
        <w:tc>
          <w:tcPr>
            <w:tcW w:w="2474" w:type="dxa"/>
            <w:gridSpan w:val="2"/>
            <w:shd w:val="clear" w:color="auto" w:fill="auto"/>
            <w:noWrap w:val="0"/>
            <w:vAlign w:val="center"/>
          </w:tcPr>
          <w:p w14:paraId="0E5221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1327" w:type="dxa"/>
            <w:noWrap w:val="0"/>
            <w:vAlign w:val="center"/>
          </w:tcPr>
          <w:p w14:paraId="14F3628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报价合计</w:t>
            </w:r>
          </w:p>
        </w:tc>
        <w:tc>
          <w:tcPr>
            <w:tcW w:w="1493" w:type="dxa"/>
            <w:noWrap w:val="0"/>
            <w:vAlign w:val="center"/>
          </w:tcPr>
          <w:p w14:paraId="615DE9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2232" w:type="dxa"/>
            <w:noWrap w:val="0"/>
            <w:vAlign w:val="center"/>
          </w:tcPr>
          <w:p w14:paraId="2B8E3A90">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jc w:val="center"/>
        </w:trPr>
        <w:tc>
          <w:tcPr>
            <w:tcW w:w="14876" w:type="dxa"/>
            <w:gridSpan w:val="10"/>
            <w:noWrap w:val="0"/>
            <w:vAlign w:val="center"/>
          </w:tcPr>
          <w:p w14:paraId="178309E5">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报价包含且不仅限于以下内容：</w:t>
            </w:r>
          </w:p>
          <w:p w14:paraId="121C3A3F">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以上为暂估运输量；运费结算按运输磅单最小值进行结算。</w:t>
            </w:r>
          </w:p>
          <w:p w14:paraId="0329BF7A">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以上限价含承运单位承运过程中的一切费用。</w:t>
            </w:r>
          </w:p>
          <w:p w14:paraId="6A2E5D33">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如果运输过程中承运单位对询比采购单位对应的胶凝材料接收矿山造成经济损失，则造成一切费用由成交人赔付，同时对承运单位进行对应处罚。</w:t>
            </w:r>
          </w:p>
          <w:p w14:paraId="49EF48C9">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成交人一经接到成交通知书后，应立即进行对应配送工作，如果配送工作中出现不能按要求履约合同，将建立黑名单制，该成交人一年内不得参加我单位组织的询比价采购。</w:t>
            </w:r>
          </w:p>
          <w:p w14:paraId="72F02AB5">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合同期限：2026年1月1日至2026年12月31日。</w:t>
            </w:r>
          </w:p>
          <w:p w14:paraId="4033A173">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损耗：承运单位需足额完成卸货，并避免装、运、卸过程中不必要的货物损失，损耗率需控制在2‰以内，超出部分的损耗由承运单位承担，按甲方销售价格赔偿损失，从承运单位当月运输费中双倍扣除。如承运单位在终点厂区发现过磅数据异常需及时跟甲方进行反馈。</w:t>
            </w:r>
          </w:p>
          <w:p w14:paraId="2957253A">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为保证合同的严格履行,在合同签定后7天内,承运单位向甲方缴纳安全履约保证金：（1）针对庐江矿业项目：保证金金额为人民币肆拾万元整（¥400,000.00）；（2)针对其他矿山项目：保证金金额为对应合同总金额的20%，安全履约保证金在合同终止且双方结算完毕后一个月内无息返还。</w:t>
            </w:r>
          </w:p>
        </w:tc>
      </w:tr>
    </w:tbl>
    <w:p w14:paraId="29E7AE45">
      <w:pPr>
        <w:spacing w:line="240" w:lineRule="auto"/>
        <w:rPr>
          <w:rFonts w:hint="eastAsia" w:ascii="仿宋" w:hAnsi="仿宋" w:eastAsia="仿宋" w:cs="仿宋"/>
          <w:color w:val="auto"/>
          <w:sz w:val="28"/>
          <w:szCs w:val="28"/>
          <w:highlight w:val="none"/>
          <w:u w:val="single"/>
        </w:rPr>
        <w:sectPr>
          <w:headerReference r:id="rId7" w:type="default"/>
          <w:pgSz w:w="16838" w:h="11906" w:orient="landscape"/>
          <w:pgMar w:top="1468" w:right="1417" w:bottom="846" w:left="1417" w:header="851" w:footer="272" w:gutter="283"/>
          <w:cols w:space="0" w:num="1"/>
          <w:rtlGutter w:val="0"/>
          <w:docGrid w:type="linesAndChars" w:linePitch="312" w:charSpace="1033"/>
        </w:sectPr>
      </w:pPr>
      <w:r>
        <w:rPr>
          <w:rFonts w:hint="default" w:ascii="仿宋" w:hAnsi="仿宋" w:eastAsia="仿宋" w:cs="仿宋"/>
          <w:color w:val="auto"/>
          <w:sz w:val="28"/>
          <w:szCs w:val="28"/>
          <w:highlight w:val="none"/>
          <w:lang w:eastAsia="zh-CN"/>
          <w:woUserID w:val="1"/>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woUserID w:val="1"/>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  </w:t>
      </w:r>
    </w:p>
    <w:p w14:paraId="2D427E89">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仿宋" w:hAnsi="仿宋" w:eastAsia="仿宋" w:cs="仿宋"/>
          <w:b/>
          <w:bCs/>
          <w:color w:val="auto"/>
          <w:kern w:val="2"/>
          <w:sz w:val="28"/>
          <w:szCs w:val="28"/>
          <w:highlight w:val="none"/>
          <w:lang w:val="en-US" w:eastAsia="zh-CN"/>
        </w:rPr>
        <w:t>合同主要条款</w:t>
      </w:r>
    </w:p>
    <w:p w14:paraId="358A0D8E">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运输车辆要求：</w:t>
      </w:r>
    </w:p>
    <w:p w14:paraId="09FB04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172" w:rightChars="-8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rPr>
        <w:t>1、车</w:t>
      </w:r>
      <w:r>
        <w:rPr>
          <w:rFonts w:hint="eastAsia" w:ascii="仿宋" w:hAnsi="仿宋" w:eastAsia="仿宋" w:cs="仿宋"/>
          <w:b w:val="0"/>
          <w:bCs w:val="0"/>
          <w:color w:val="auto"/>
          <w:kern w:val="0"/>
          <w:sz w:val="24"/>
          <w:szCs w:val="24"/>
          <w:highlight w:val="none"/>
          <w:lang w:val="en-US" w:eastAsia="zh-CN" w:bidi="ar"/>
        </w:rPr>
        <w:t>辆类别：罐式粉状物料运输车，额定载重量不低于30吨；</w:t>
      </w:r>
    </w:p>
    <w:p w14:paraId="76371D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2、车辆需具备自行泵送物料的功能；</w:t>
      </w:r>
    </w:p>
    <w:p w14:paraId="743AF9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217" w:firstLineChars="89"/>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3、车辆必须具备道路运输资格，保险手续齐全；</w:t>
      </w:r>
    </w:p>
    <w:p w14:paraId="13BA87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217" w:firstLineChars="89"/>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4、驾驶员必须持证上岗，无重大运输</w:t>
      </w:r>
      <w:r>
        <w:rPr>
          <w:rFonts w:hint="eastAsia" w:ascii="仿宋" w:hAnsi="仿宋" w:eastAsia="仿宋" w:cs="仿宋"/>
          <w:color w:val="auto"/>
          <w:kern w:val="0"/>
          <w:sz w:val="24"/>
          <w:szCs w:val="24"/>
          <w:highlight w:val="none"/>
          <w:lang w:val="en-US" w:eastAsia="zh-CN" w:bidi="ar"/>
        </w:rPr>
        <w:t>违法记录。</w:t>
      </w:r>
    </w:p>
    <w:p w14:paraId="65E253C3">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运输货物概况：</w:t>
      </w:r>
    </w:p>
    <w:p w14:paraId="54389623">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1、货物名称：矿山充填</w:t>
      </w:r>
      <w:r>
        <w:rPr>
          <w:rFonts w:hint="eastAsia" w:ascii="仿宋" w:hAnsi="仿宋" w:eastAsia="仿宋" w:cs="仿宋"/>
          <w:color w:val="auto"/>
          <w:sz w:val="24"/>
          <w:szCs w:val="24"/>
          <w:highlight w:val="none"/>
        </w:rPr>
        <w:t>胶凝材料</w:t>
      </w:r>
      <w:r>
        <w:rPr>
          <w:rFonts w:hint="eastAsia" w:ascii="仿宋" w:hAnsi="仿宋" w:eastAsia="仿宋" w:cs="仿宋"/>
          <w:color w:val="auto"/>
          <w:sz w:val="24"/>
          <w:szCs w:val="24"/>
          <w:highlight w:val="none"/>
          <w:lang w:eastAsia="zh-CN"/>
        </w:rPr>
        <w:t>；</w:t>
      </w:r>
    </w:p>
    <w:p w14:paraId="7B0116E9">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2、货物运输要求：运输及泵送过程中保证密封，不得接触水等其他物料；</w:t>
      </w:r>
    </w:p>
    <w:p w14:paraId="7508AA0E">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承运内容：</w:t>
      </w:r>
    </w:p>
    <w:p w14:paraId="657ED361">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甲方将部分外销产品运输发包给乙方,由乙方承包运输,乙方负责从甲方</w:t>
      </w:r>
      <w:r>
        <w:rPr>
          <w:rFonts w:hint="eastAsia" w:ascii="仿宋" w:hAnsi="仿宋" w:eastAsia="仿宋" w:cs="仿宋"/>
          <w:color w:val="auto"/>
          <w:sz w:val="24"/>
          <w:szCs w:val="24"/>
          <w:highlight w:val="none"/>
          <w:lang w:val="en-US" w:eastAsia="zh-CN"/>
        </w:rPr>
        <w:t>料仓</w:t>
      </w:r>
      <w:r>
        <w:rPr>
          <w:rFonts w:hint="eastAsia" w:ascii="仿宋" w:hAnsi="仿宋" w:eastAsia="仿宋" w:cs="仿宋"/>
          <w:color w:val="auto"/>
          <w:sz w:val="24"/>
          <w:szCs w:val="24"/>
          <w:highlight w:val="none"/>
        </w:rPr>
        <w:t>装车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运输到甲方指定地点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卸货</w:t>
      </w:r>
      <w:r>
        <w:rPr>
          <w:rFonts w:hint="eastAsia" w:ascii="仿宋" w:hAnsi="仿宋" w:eastAsia="仿宋" w:cs="仿宋"/>
          <w:color w:val="auto"/>
          <w:sz w:val="24"/>
          <w:szCs w:val="24"/>
          <w:highlight w:val="none"/>
          <w:lang w:val="en-US" w:eastAsia="zh-CN"/>
        </w:rPr>
        <w:t>至指定料仓</w:t>
      </w:r>
      <w:r>
        <w:rPr>
          <w:rFonts w:hint="eastAsia" w:ascii="仿宋" w:hAnsi="仿宋" w:eastAsia="仿宋" w:cs="仿宋"/>
          <w:color w:val="auto"/>
          <w:sz w:val="24"/>
          <w:szCs w:val="24"/>
          <w:highlight w:val="none"/>
        </w:rPr>
        <w:t>。</w:t>
      </w:r>
    </w:p>
    <w:p w14:paraId="02553A51">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起点：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lang w:val="en-US" w:eastAsia="zh-CN"/>
        </w:rPr>
        <w:t>终点：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5DD82D63">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具体</w:t>
      </w:r>
      <w:r>
        <w:rPr>
          <w:rFonts w:hint="eastAsia" w:ascii="仿宋" w:hAnsi="仿宋" w:eastAsia="仿宋" w:cs="仿宋"/>
          <w:color w:val="auto"/>
          <w:sz w:val="24"/>
          <w:szCs w:val="24"/>
          <w:highlight w:val="none"/>
        </w:rPr>
        <w:t>由甲方开具《</w:t>
      </w:r>
      <w:r>
        <w:rPr>
          <w:rFonts w:hint="eastAsia" w:ascii="仿宋" w:hAnsi="仿宋" w:eastAsia="仿宋" w:cs="仿宋"/>
          <w:color w:val="auto"/>
          <w:sz w:val="24"/>
          <w:szCs w:val="24"/>
          <w:highlight w:val="none"/>
          <w:lang w:val="en-US" w:eastAsia="zh-CN"/>
        </w:rPr>
        <w:t>发货</w:t>
      </w:r>
      <w:r>
        <w:rPr>
          <w:rFonts w:hint="eastAsia" w:ascii="仿宋" w:hAnsi="仿宋" w:eastAsia="仿宋" w:cs="仿宋"/>
          <w:color w:val="auto"/>
          <w:sz w:val="24"/>
          <w:szCs w:val="24"/>
          <w:highlight w:val="none"/>
        </w:rPr>
        <w:t>单》予以确定,乙方根据甲方《</w:t>
      </w:r>
      <w:r>
        <w:rPr>
          <w:rFonts w:hint="eastAsia" w:ascii="仿宋" w:hAnsi="仿宋" w:eastAsia="仿宋" w:cs="仿宋"/>
          <w:color w:val="auto"/>
          <w:sz w:val="24"/>
          <w:szCs w:val="24"/>
          <w:highlight w:val="none"/>
          <w:lang w:val="en-US" w:eastAsia="zh-CN"/>
        </w:rPr>
        <w:t>发货</w:t>
      </w:r>
      <w:r>
        <w:rPr>
          <w:rFonts w:hint="eastAsia" w:ascii="仿宋" w:hAnsi="仿宋" w:eastAsia="仿宋" w:cs="仿宋"/>
          <w:color w:val="auto"/>
          <w:sz w:val="24"/>
          <w:szCs w:val="24"/>
          <w:highlight w:val="none"/>
        </w:rPr>
        <w:t>单》</w:t>
      </w:r>
      <w:r>
        <w:rPr>
          <w:rFonts w:hint="eastAsia" w:ascii="仿宋" w:hAnsi="仿宋" w:eastAsia="仿宋" w:cs="仿宋"/>
          <w:color w:val="auto"/>
          <w:sz w:val="24"/>
          <w:szCs w:val="24"/>
          <w:highlight w:val="none"/>
          <w:lang w:val="en-US" w:eastAsia="zh-CN"/>
        </w:rPr>
        <w:t>指明</w:t>
      </w:r>
      <w:r>
        <w:rPr>
          <w:rFonts w:hint="eastAsia" w:ascii="仿宋" w:hAnsi="仿宋" w:eastAsia="仿宋" w:cs="仿宋"/>
          <w:color w:val="auto"/>
          <w:sz w:val="24"/>
          <w:szCs w:val="24"/>
          <w:highlight w:val="none"/>
        </w:rPr>
        <w:t>的交货地点完成货物</w:t>
      </w:r>
      <w:r>
        <w:rPr>
          <w:rFonts w:hint="eastAsia" w:ascii="仿宋" w:hAnsi="仿宋" w:eastAsia="仿宋" w:cs="仿宋"/>
          <w:color w:val="auto"/>
          <w:sz w:val="24"/>
          <w:szCs w:val="24"/>
          <w:highlight w:val="none"/>
          <w:lang w:val="en-US" w:eastAsia="zh-CN"/>
        </w:rPr>
        <w:t>装车、</w:t>
      </w:r>
      <w:r>
        <w:rPr>
          <w:rFonts w:hint="eastAsia" w:ascii="仿宋" w:hAnsi="仿宋" w:eastAsia="仿宋" w:cs="仿宋"/>
          <w:color w:val="auto"/>
          <w:sz w:val="24"/>
          <w:szCs w:val="24"/>
          <w:highlight w:val="none"/>
        </w:rPr>
        <w:t>运输、卸货等工作。</w:t>
      </w:r>
    </w:p>
    <w:p w14:paraId="1FBF464B">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44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合同期限：</w:t>
      </w:r>
    </w:p>
    <w:p w14:paraId="37FBAC1A">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ind w:leftChars="0" w:firstLine="490" w:firstLineChars="20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 xml:space="preserve">  2026  年  1月  1  日至  2026  年 12 月 31 日。</w:t>
      </w:r>
    </w:p>
    <w:p w14:paraId="41B4F2C3">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ind w:leftChars="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五、履约管理：</w:t>
      </w:r>
    </w:p>
    <w:p w14:paraId="68CE2E2C">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ind w:leftChars="0" w:firstLine="490" w:firstLineChars="20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在合同签订后进场前</w:t>
      </w:r>
      <w:r>
        <w:rPr>
          <w:rFonts w:hint="eastAsia" w:ascii="仿宋" w:hAnsi="仿宋" w:eastAsia="仿宋" w:cs="仿宋"/>
          <w:b/>
          <w:bCs/>
          <w:color w:val="auto"/>
          <w:sz w:val="24"/>
          <w:szCs w:val="24"/>
          <w:highlight w:val="none"/>
          <w:lang w:val="en-US" w:eastAsia="zh-CN"/>
        </w:rPr>
        <w:t>需缴纳安全履约保证金</w:t>
      </w:r>
      <w:r>
        <w:rPr>
          <w:rFonts w:hint="eastAsia" w:ascii="仿宋" w:hAnsi="仿宋" w:eastAsia="仿宋" w:cs="仿宋"/>
          <w:b w:val="0"/>
          <w:bCs w:val="0"/>
          <w:color w:val="auto"/>
          <w:sz w:val="24"/>
          <w:szCs w:val="24"/>
          <w:highlight w:val="none"/>
          <w:lang w:val="en-US" w:eastAsia="zh-CN"/>
        </w:rPr>
        <w:t>（同时进行相关安全培训）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保证金标准按建安公司外协队伍管理办法执行。</w:t>
      </w:r>
    </w:p>
    <w:p w14:paraId="3C8CAD83">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六、运输价格：</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14:paraId="35FC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noWrap w:val="0"/>
            <w:vAlign w:val="center"/>
          </w:tcPr>
          <w:p w14:paraId="6E6B3F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运输起点</w:t>
            </w:r>
          </w:p>
        </w:tc>
        <w:tc>
          <w:tcPr>
            <w:tcW w:w="2968" w:type="dxa"/>
            <w:noWrap w:val="0"/>
            <w:vAlign w:val="center"/>
          </w:tcPr>
          <w:p w14:paraId="5D924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运输终点</w:t>
            </w:r>
          </w:p>
        </w:tc>
        <w:tc>
          <w:tcPr>
            <w:tcW w:w="3525" w:type="dxa"/>
            <w:noWrap w:val="0"/>
            <w:vAlign w:val="center"/>
          </w:tcPr>
          <w:p w14:paraId="6C7FC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单价（元/吨）</w:t>
            </w:r>
          </w:p>
        </w:tc>
      </w:tr>
      <w:tr w14:paraId="09E8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95" w:type="dxa"/>
            <w:noWrap w:val="0"/>
            <w:vAlign w:val="center"/>
          </w:tcPr>
          <w:p w14:paraId="3C07C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建材</w:t>
            </w:r>
            <w:r>
              <w:rPr>
                <w:rFonts w:hint="eastAsia" w:ascii="仿宋" w:hAnsi="仿宋" w:eastAsia="仿宋" w:cs="仿宋"/>
                <w:color w:val="auto"/>
                <w:sz w:val="24"/>
                <w:szCs w:val="24"/>
                <w:highlight w:val="none"/>
              </w:rPr>
              <w:t>成品</w:t>
            </w:r>
            <w:r>
              <w:rPr>
                <w:rFonts w:hint="eastAsia" w:ascii="仿宋" w:hAnsi="仿宋" w:eastAsia="仿宋" w:cs="仿宋"/>
                <w:color w:val="auto"/>
                <w:sz w:val="24"/>
                <w:szCs w:val="24"/>
                <w:highlight w:val="none"/>
                <w:lang w:val="en-US" w:eastAsia="zh-CN"/>
              </w:rPr>
              <w:t>料</w:t>
            </w:r>
            <w:r>
              <w:rPr>
                <w:rFonts w:hint="eastAsia" w:ascii="仿宋" w:hAnsi="仿宋" w:eastAsia="仿宋" w:cs="仿宋"/>
                <w:color w:val="auto"/>
                <w:sz w:val="24"/>
                <w:szCs w:val="24"/>
                <w:highlight w:val="none"/>
              </w:rPr>
              <w:t>仓</w:t>
            </w:r>
          </w:p>
        </w:tc>
        <w:tc>
          <w:tcPr>
            <w:tcW w:w="2968" w:type="dxa"/>
            <w:noWrap w:val="0"/>
            <w:vAlign w:val="center"/>
          </w:tcPr>
          <w:p w14:paraId="7E32C4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xxx公司料仓</w:t>
            </w:r>
          </w:p>
        </w:tc>
        <w:tc>
          <w:tcPr>
            <w:tcW w:w="3525" w:type="dxa"/>
            <w:noWrap w:val="0"/>
            <w:vAlign w:val="center"/>
          </w:tcPr>
          <w:p w14:paraId="138C7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r>
    </w:tbl>
    <w:p w14:paraId="6AC7ACC6">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注：以上单价含9%增值税，如遇税率调整，按税前单价调整执行。</w:t>
      </w:r>
    </w:p>
    <w:p w14:paraId="45A96722">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七、货物的计量与损耗：</w:t>
      </w:r>
    </w:p>
    <w:p w14:paraId="7022EA5C">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计量：乙方车辆进出甲方厂区时两次过磅计货物净重，在合理时间内需抵达运输终点厂区，完成全部承运货物的足额卸货，并在进出终点厂区两次过磅计货物净重。以两次磅单的较低者结算运费。</w:t>
      </w:r>
    </w:p>
    <w:p w14:paraId="444A45B4">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损耗：乙方需足额完成卸货，并避免装、运、卸过程中不必要的货物损失，损耗率需控制在</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u w:val="none"/>
          <w:lang w:val="en-US" w:eastAsia="zh-CN"/>
        </w:rPr>
        <w:t>以内，超出部分的损耗由乙方承担，按甲方销售价格赔偿损失，从乙方当月运输费中扣除。如乙方在终点厂区发现过磅数据异常并及时跟甲方进行了反馈，确定是磅秤问题，可免于赔偿；如发现异常没有及时反馈，将按标准双倍进行赔偿。</w:t>
      </w:r>
    </w:p>
    <w:p w14:paraId="3228CF37">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八、结算和支付：</w:t>
      </w:r>
    </w:p>
    <w:p w14:paraId="7149CF8F">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乙方应在每月21日提供当月结算清单（附《发货单》）至甲方商务部，配合甲方工作人员完成结算审核。审核后，乙方依据结算单在当月30日前开具9%增值税专用发票交甲方商务部，甲方商务部当月办理入账手续。</w:t>
      </w:r>
    </w:p>
    <w:p w14:paraId="498A46F7">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2、运输费支付：甲方按上月入账金额在次月支付</w:t>
      </w:r>
      <w:r>
        <w:rPr>
          <w:rFonts w:hint="eastAsia" w:ascii="仿宋" w:hAnsi="仿宋" w:eastAsia="仿宋" w:cs="仿宋"/>
          <w:color w:val="auto"/>
          <w:sz w:val="24"/>
          <w:szCs w:val="24"/>
          <w:highlight w:val="none"/>
          <w:u w:val="single"/>
          <w:lang w:val="en-US" w:eastAsia="zh-CN"/>
        </w:rPr>
        <w:t xml:space="preserve"> 60% </w:t>
      </w:r>
      <w:r>
        <w:rPr>
          <w:rFonts w:hint="eastAsia" w:ascii="仿宋" w:hAnsi="仿宋" w:eastAsia="仿宋" w:cs="仿宋"/>
          <w:color w:val="auto"/>
          <w:sz w:val="24"/>
          <w:szCs w:val="24"/>
          <w:highlight w:val="none"/>
          <w:u w:val="none"/>
          <w:lang w:val="en-US" w:eastAsia="zh-CN"/>
        </w:rPr>
        <w:t>，2027年2月10日（一周内）付至</w:t>
      </w:r>
      <w:r>
        <w:rPr>
          <w:rFonts w:hint="eastAsia" w:ascii="仿宋" w:hAnsi="仿宋" w:eastAsia="仿宋" w:cs="仿宋"/>
          <w:color w:val="auto"/>
          <w:sz w:val="24"/>
          <w:szCs w:val="24"/>
          <w:highlight w:val="none"/>
          <w:u w:val="single"/>
          <w:lang w:val="en-US" w:eastAsia="zh-CN"/>
        </w:rPr>
        <w:t xml:space="preserve"> 80% </w:t>
      </w:r>
      <w:r>
        <w:rPr>
          <w:rFonts w:hint="eastAsia" w:ascii="仿宋" w:hAnsi="仿宋" w:eastAsia="仿宋" w:cs="仿宋"/>
          <w:color w:val="auto"/>
          <w:sz w:val="24"/>
          <w:szCs w:val="24"/>
          <w:highlight w:val="none"/>
          <w:u w:val="none"/>
          <w:lang w:val="en-US" w:eastAsia="zh-CN"/>
        </w:rPr>
        <w:t>,余款2027年12月31日（一周内）付清。</w:t>
      </w:r>
    </w:p>
    <w:p w14:paraId="15FFA0DD">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应按时提供当月全额结算单，不得遗漏统计《发货单》。如乙方</w:t>
      </w:r>
      <w:r>
        <w:rPr>
          <w:rFonts w:hint="eastAsia" w:ascii="仿宋" w:hAnsi="仿宋" w:eastAsia="仿宋" w:cs="仿宋"/>
          <w:color w:val="auto"/>
          <w:sz w:val="24"/>
          <w:szCs w:val="24"/>
          <w:highlight w:val="none"/>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rPr>
        <w:t>延期至下月办理,付款亦顺延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同时罚款</w:t>
      </w:r>
      <w:r>
        <w:rPr>
          <w:rFonts w:hint="eastAsia" w:ascii="仿宋" w:hAnsi="仿宋" w:eastAsia="仿宋" w:cs="仿宋"/>
          <w:color w:val="auto"/>
          <w:sz w:val="24"/>
          <w:szCs w:val="24"/>
          <w:highlight w:val="none"/>
          <w:u w:val="single"/>
          <w:lang w:val="en-US" w:eastAsia="zh-CN"/>
        </w:rPr>
        <w:t xml:space="preserve"> 2000元/次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如由乙方原因造成漏单，次月补办时甲方有权扣除所漏《发货单》运输费的</w:t>
      </w:r>
      <w:r>
        <w:rPr>
          <w:rFonts w:hint="eastAsia" w:ascii="仿宋" w:hAnsi="仿宋" w:eastAsia="仿宋" w:cs="仿宋"/>
          <w:color w:val="auto"/>
          <w:sz w:val="24"/>
          <w:szCs w:val="24"/>
          <w:highlight w:val="none"/>
          <w:u w:val="single"/>
          <w:lang w:val="en-US" w:eastAsia="zh-CN"/>
        </w:rPr>
        <w:t xml:space="preserve"> 50%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无回单（运输联）或签收不符合要求不予结算运费。</w:t>
      </w:r>
    </w:p>
    <w:p w14:paraId="0378B2C1">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4、甲方开票信息：</w:t>
      </w:r>
    </w:p>
    <w:p w14:paraId="64ABDA59">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名称：铜陵铜冠建安新型环保建材科技有限公司；</w:t>
      </w:r>
    </w:p>
    <w:p w14:paraId="237B30E2">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纳税人识别号：91340700090790738A；</w:t>
      </w:r>
    </w:p>
    <w:p w14:paraId="74F01C31">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地址、电话：安徽省铜陵市经济技术开发区、0562-5861530；</w:t>
      </w:r>
    </w:p>
    <w:p w14:paraId="1D8AC5CC">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开户行及账号：中国银行铜陵分行179725225176。</w:t>
      </w:r>
    </w:p>
    <w:p w14:paraId="7A24A1A0">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5、乙方收款账户：</w:t>
      </w:r>
    </w:p>
    <w:p w14:paraId="33404B80">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D164BF0">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A02F44E">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5609E4E">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w:t>
      </w:r>
      <w:r>
        <w:rPr>
          <w:rFonts w:hint="eastAsia" w:ascii="仿宋" w:hAnsi="仿宋" w:eastAsia="仿宋" w:cs="仿宋"/>
          <w:color w:val="auto"/>
          <w:sz w:val="24"/>
          <w:szCs w:val="24"/>
          <w:highlight w:val="none"/>
        </w:rPr>
        <w:t>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p>
    <w:p w14:paraId="74122FC1">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九、甲方的义务和责任：</w:t>
      </w:r>
    </w:p>
    <w:p w14:paraId="1F77AABA">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1、按照双方约定向乙方支付运费。</w:t>
      </w:r>
    </w:p>
    <w:p w14:paraId="07570367">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2、甲方保证成品粉料下料管道完好。</w:t>
      </w:r>
    </w:p>
    <w:p w14:paraId="2C0DB504">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3、甲方保证厂区内道路顺畅，司磅及时。</w:t>
      </w:r>
    </w:p>
    <w:p w14:paraId="2D022818">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4、甲方应</w:t>
      </w:r>
      <w:r>
        <w:rPr>
          <w:rFonts w:hint="eastAsia" w:ascii="仿宋" w:hAnsi="仿宋" w:eastAsia="仿宋" w:cs="仿宋"/>
          <w:color w:val="auto"/>
          <w:sz w:val="24"/>
          <w:szCs w:val="24"/>
          <w:highlight w:val="none"/>
          <w:lang w:val="en-US" w:eastAsia="zh-CN"/>
        </w:rPr>
        <w:t>在每天下午16:00前报送次日的配送计划，以便乙方及时安排运输车辆。</w:t>
      </w:r>
      <w:r>
        <w:rPr>
          <w:rFonts w:hint="eastAsia" w:ascii="仿宋" w:hAnsi="仿宋" w:eastAsia="仿宋" w:cs="仿宋"/>
          <w:color w:val="auto"/>
          <w:sz w:val="24"/>
          <w:szCs w:val="24"/>
          <w:highlight w:val="none"/>
        </w:rPr>
        <w:t xml:space="preserve">   </w:t>
      </w:r>
    </w:p>
    <w:p w14:paraId="45A1EA11">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5、甲方对乙方的调度人员及进厂作业的所有人员进行安全、环保及甲方相关的管理、规定进行培训，考试合格后方可进厂作业。</w:t>
      </w:r>
      <w:r>
        <w:rPr>
          <w:rFonts w:hint="eastAsia" w:ascii="仿宋" w:hAnsi="仿宋" w:eastAsia="仿宋" w:cs="仿宋"/>
          <w:color w:val="auto"/>
          <w:sz w:val="24"/>
          <w:szCs w:val="24"/>
          <w:highlight w:val="none"/>
        </w:rPr>
        <w:t xml:space="preserve">                           </w:t>
      </w:r>
    </w:p>
    <w:p w14:paraId="39D6878F">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十、乙方的义务和责任：</w:t>
      </w:r>
    </w:p>
    <w:p w14:paraId="5BC634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firstLine="49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1、乙方需严格遵守《</w:t>
      </w:r>
      <w:r>
        <w:rPr>
          <w:rFonts w:hint="eastAsia" w:ascii="仿宋" w:hAnsi="仿宋" w:eastAsia="仿宋" w:cs="仿宋"/>
          <w:color w:val="auto"/>
          <w:sz w:val="24"/>
          <w:szCs w:val="24"/>
          <w:highlight w:val="none"/>
        </w:rPr>
        <w:t>铜冠建筑安装股份有限公司</w:t>
      </w:r>
      <w:r>
        <w:rPr>
          <w:rFonts w:hint="eastAsia" w:ascii="仿宋" w:hAnsi="仿宋" w:eastAsia="仿宋" w:cs="仿宋"/>
          <w:color w:val="auto"/>
          <w:sz w:val="24"/>
          <w:szCs w:val="24"/>
          <w:highlight w:val="none"/>
          <w:lang w:eastAsia="zh-CN"/>
        </w:rPr>
        <w:t>外协队伍管理办法》（</w:t>
      </w:r>
      <w:r>
        <w:rPr>
          <w:rFonts w:hint="eastAsia" w:ascii="仿宋" w:hAnsi="仿宋" w:eastAsia="仿宋" w:cs="仿宋"/>
          <w:color w:val="auto"/>
          <w:sz w:val="24"/>
          <w:szCs w:val="24"/>
          <w:highlight w:val="none"/>
          <w:lang w:val="en-US" w:eastAsia="zh-CN"/>
        </w:rPr>
        <w:t>简称《管理办法》</w:t>
      </w:r>
      <w:r>
        <w:rPr>
          <w:rFonts w:hint="eastAsia" w:ascii="仿宋" w:hAnsi="仿宋" w:eastAsia="仿宋" w:cs="仿宋"/>
          <w:color w:val="auto"/>
          <w:sz w:val="24"/>
          <w:szCs w:val="24"/>
          <w:highlight w:val="none"/>
          <w:lang w:eastAsia="zh-CN"/>
        </w:rPr>
        <w:t>），违反</w:t>
      </w:r>
      <w:r>
        <w:rPr>
          <w:rFonts w:hint="eastAsia" w:ascii="仿宋" w:hAnsi="仿宋" w:eastAsia="仿宋" w:cs="仿宋"/>
          <w:color w:val="auto"/>
          <w:sz w:val="24"/>
          <w:szCs w:val="24"/>
          <w:highlight w:val="none"/>
          <w:lang w:val="en-US" w:eastAsia="zh-CN"/>
        </w:rPr>
        <w:t>相关规定按《管理办法》处理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135CF2ED">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、为体现公平、公正，同时确保</w:t>
      </w:r>
      <w:r>
        <w:rPr>
          <w:rFonts w:hint="eastAsia" w:ascii="仿宋" w:hAnsi="仿宋" w:eastAsia="仿宋" w:cs="仿宋"/>
          <w:color w:val="auto"/>
          <w:sz w:val="24"/>
          <w:szCs w:val="24"/>
          <w:highlight w:val="none"/>
          <w:lang w:val="en-US" w:eastAsia="zh-CN"/>
        </w:rPr>
        <w:t>胶</w:t>
      </w:r>
      <w:r>
        <w:rPr>
          <w:rFonts w:hint="eastAsia" w:ascii="仿宋" w:hAnsi="仿宋" w:eastAsia="仿宋" w:cs="仿宋"/>
          <w:color w:val="auto"/>
          <w:sz w:val="24"/>
          <w:szCs w:val="24"/>
          <w:highlight w:val="none"/>
        </w:rPr>
        <w:t>凝材料运输工作的</w:t>
      </w:r>
      <w:r>
        <w:rPr>
          <w:rFonts w:hint="eastAsia" w:ascii="仿宋" w:hAnsi="仿宋" w:eastAsia="仿宋" w:cs="仿宋"/>
          <w:color w:val="auto"/>
          <w:sz w:val="24"/>
          <w:szCs w:val="24"/>
          <w:highlight w:val="none"/>
          <w:lang w:val="en-US" w:eastAsia="zh-CN"/>
        </w:rPr>
        <w:t>稳定</w:t>
      </w:r>
      <w:r>
        <w:rPr>
          <w:rFonts w:hint="eastAsia" w:ascii="仿宋" w:hAnsi="仿宋" w:eastAsia="仿宋" w:cs="仿宋"/>
          <w:color w:val="auto"/>
          <w:sz w:val="24"/>
          <w:szCs w:val="24"/>
          <w:highlight w:val="none"/>
        </w:rPr>
        <w:t>性，各投标单位一旦中标，我公司将把中标单位在本次招标中所提供的参与评标计分的自有车辆信息录入我公司管理系统。中标单位在后续执行合同的过程中，必须确保所报车辆投入到日常运输中使用。未足额使用前不允许使用本次投标所报车辆之外的车辆或从外部调用。由此造成的对执行合同运输任务的不利影响及一切损失，均由中标单位承担。同时我公司有终止合同的权利。</w:t>
      </w:r>
    </w:p>
    <w:p w14:paraId="6A990A23">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、乙方承运车辆和司机应证件齐全,</w:t>
      </w:r>
      <w:r>
        <w:rPr>
          <w:rFonts w:hint="eastAsia" w:ascii="仿宋" w:hAnsi="仿宋" w:eastAsia="仿宋" w:cs="仿宋"/>
          <w:color w:val="auto"/>
          <w:sz w:val="24"/>
          <w:szCs w:val="24"/>
          <w:highlight w:val="none"/>
          <w:lang w:val="en-US" w:eastAsia="zh-CN"/>
        </w:rPr>
        <w:t>司机</w:t>
      </w:r>
      <w:r>
        <w:rPr>
          <w:rFonts w:hint="eastAsia" w:ascii="仿宋" w:hAnsi="仿宋" w:eastAsia="仿宋" w:cs="仿宋"/>
          <w:color w:val="auto"/>
          <w:sz w:val="24"/>
          <w:szCs w:val="24"/>
          <w:highlight w:val="none"/>
          <w:lang w:eastAsia="zh-CN"/>
        </w:rPr>
        <w:t>持证上岗。</w:t>
      </w:r>
      <w:r>
        <w:rPr>
          <w:rFonts w:hint="eastAsia" w:ascii="仿宋" w:hAnsi="仿宋" w:eastAsia="仿宋" w:cs="仿宋"/>
          <w:b w:val="0"/>
          <w:bCs w:val="0"/>
          <w:color w:val="auto"/>
          <w:sz w:val="24"/>
          <w:szCs w:val="24"/>
          <w:highlight w:val="none"/>
          <w:lang w:val="en-US" w:eastAsia="zh-CN"/>
        </w:rPr>
        <w:t>同时满足国家对道路运输要求的相关规定。</w:t>
      </w:r>
      <w:r>
        <w:rPr>
          <w:rFonts w:hint="eastAsia" w:ascii="仿宋" w:hAnsi="仿宋" w:eastAsia="仿宋" w:cs="仿宋"/>
          <w:color w:val="auto"/>
          <w:sz w:val="24"/>
          <w:szCs w:val="24"/>
          <w:highlight w:val="none"/>
        </w:rPr>
        <w:t>车容车貌整洁干净,并承担全程运输安全义务,对运输过程中货物的损毁、丢失及在运输过程中所发生的</w:t>
      </w:r>
      <w:r>
        <w:rPr>
          <w:rFonts w:hint="eastAsia" w:ascii="仿宋" w:hAnsi="仿宋" w:eastAsia="仿宋" w:cs="仿宋"/>
          <w:color w:val="auto"/>
          <w:sz w:val="24"/>
          <w:szCs w:val="24"/>
          <w:highlight w:val="none"/>
          <w:lang w:val="en-US" w:eastAsia="zh-CN"/>
        </w:rPr>
        <w:t>超载、</w:t>
      </w:r>
      <w:r>
        <w:rPr>
          <w:rFonts w:hint="eastAsia" w:ascii="仿宋" w:hAnsi="仿宋" w:eastAsia="仿宋" w:cs="仿宋"/>
          <w:color w:val="auto"/>
          <w:sz w:val="24"/>
          <w:szCs w:val="24"/>
          <w:highlight w:val="none"/>
        </w:rPr>
        <w:t>违章及交通事故均与甲方无关。由此给甲方造成的经济损失由乙方承担。</w:t>
      </w:r>
    </w:p>
    <w:p w14:paraId="3A9CA243">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w:t>
      </w:r>
      <w:r>
        <w:rPr>
          <w:rFonts w:hint="eastAsia" w:ascii="仿宋" w:hAnsi="仿宋" w:eastAsia="仿宋" w:cs="仿宋"/>
          <w:b/>
          <w:bCs/>
          <w:color w:val="auto"/>
          <w:sz w:val="24"/>
          <w:szCs w:val="24"/>
          <w:highlight w:val="none"/>
          <w:lang w:val="en-US" w:eastAsia="zh-CN"/>
        </w:rPr>
        <w:t>根据计划</w:t>
      </w:r>
      <w:r>
        <w:rPr>
          <w:rFonts w:hint="eastAsia" w:ascii="仿宋" w:hAnsi="仿宋" w:eastAsia="仿宋" w:cs="仿宋"/>
          <w:color w:val="auto"/>
          <w:sz w:val="24"/>
          <w:szCs w:val="24"/>
          <w:highlight w:val="none"/>
        </w:rPr>
        <w:t>发出发货指令</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乙方车辆必须</w:t>
      </w:r>
      <w:r>
        <w:rPr>
          <w:rFonts w:hint="eastAsia" w:ascii="仿宋" w:hAnsi="仿宋" w:eastAsia="仿宋" w:cs="仿宋"/>
          <w:color w:val="auto"/>
          <w:sz w:val="24"/>
          <w:szCs w:val="24"/>
          <w:highlight w:val="none"/>
          <w:lang w:val="en-US" w:eastAsia="zh-CN"/>
        </w:rPr>
        <w:t>在0.5</w:t>
      </w:r>
      <w:r>
        <w:rPr>
          <w:rFonts w:hint="eastAsia" w:ascii="仿宋" w:hAnsi="仿宋" w:eastAsia="仿宋" w:cs="仿宋"/>
          <w:color w:val="auto"/>
          <w:sz w:val="24"/>
          <w:szCs w:val="24"/>
          <w:highlight w:val="none"/>
        </w:rPr>
        <w:t>小时内到货场装货,杜绝拒单现象。每延误一次装货，对乙方罚款</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000元,同时甲方有权自行调派车辆装运,所发生的额外费用由乙方承担。</w:t>
      </w:r>
      <w:r>
        <w:rPr>
          <w:rFonts w:hint="eastAsia" w:ascii="仿宋" w:hAnsi="仿宋" w:eastAsia="仿宋" w:cs="仿宋"/>
          <w:color w:val="auto"/>
          <w:sz w:val="24"/>
          <w:szCs w:val="24"/>
          <w:highlight w:val="none"/>
          <w:lang w:val="en-US" w:eastAsia="zh-CN"/>
        </w:rPr>
        <w:t>如出现两次拒单或延误装车现象，处罚加倍，并扣除全部履约保证金</w:t>
      </w:r>
      <w:r>
        <w:rPr>
          <w:rFonts w:hint="eastAsia" w:ascii="仿宋" w:hAnsi="仿宋" w:eastAsia="仿宋" w:cs="仿宋"/>
          <w:color w:val="000000"/>
          <w:sz w:val="24"/>
          <w:szCs w:val="24"/>
          <w:highlight w:val="none"/>
          <w:lang w:val="en-US" w:eastAsia="zh-CN"/>
        </w:rPr>
        <w:t>。</w:t>
      </w:r>
    </w:p>
    <w:p w14:paraId="3B8542B5">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、乙方在装车前应对所装货物的品种、数量等进行认真确认。装车完毕,乙方人员必须现场与甲方工作人员办理货物提货确认手续。</w:t>
      </w:r>
    </w:p>
    <w:p w14:paraId="34BA6F67">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货物从装车后直到货物交付甲方指定收货人签收之前,乙方承担货物的安全保管及承运责任,发生的损毁、丢失、残损、交货不清、短缺等由此导致的损失均由乙方负责赔偿。乙方在全程运输途中发生意外事故,应及时通知甲方,以便甲方及时与</w:t>
      </w:r>
      <w:r>
        <w:rPr>
          <w:rFonts w:hint="eastAsia" w:ascii="仿宋" w:hAnsi="仿宋" w:eastAsia="仿宋" w:cs="仿宋"/>
          <w:color w:val="auto"/>
          <w:sz w:val="24"/>
          <w:szCs w:val="24"/>
          <w:highlight w:val="none"/>
          <w:lang w:val="en-US" w:eastAsia="zh-CN"/>
        </w:rPr>
        <w:t>收货单位</w:t>
      </w:r>
      <w:r>
        <w:rPr>
          <w:rFonts w:hint="eastAsia" w:ascii="仿宋" w:hAnsi="仿宋" w:eastAsia="仿宋" w:cs="仿宋"/>
          <w:color w:val="auto"/>
          <w:sz w:val="24"/>
          <w:szCs w:val="24"/>
          <w:highlight w:val="none"/>
        </w:rPr>
        <w:t>沟通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说明</w:t>
      </w:r>
      <w:r>
        <w:rPr>
          <w:rFonts w:hint="eastAsia" w:ascii="仿宋" w:hAnsi="仿宋" w:eastAsia="仿宋" w:cs="仿宋"/>
          <w:color w:val="auto"/>
          <w:sz w:val="24"/>
          <w:szCs w:val="24"/>
          <w:highlight w:val="none"/>
        </w:rPr>
        <w:t>货物延迟原因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因事故所造成的后果和经济损失均由乙方负责。</w:t>
      </w:r>
    </w:p>
    <w:p w14:paraId="48BBAA2B">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、乙方必须严格按照《</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》地址送货,货到目的地后,乙方负责卸货,并负责</w:t>
      </w:r>
      <w:r>
        <w:rPr>
          <w:rFonts w:hint="eastAsia" w:ascii="仿宋" w:hAnsi="仿宋" w:eastAsia="仿宋" w:cs="仿宋"/>
          <w:color w:val="auto"/>
          <w:sz w:val="24"/>
          <w:szCs w:val="24"/>
          <w:highlight w:val="none"/>
          <w:lang w:val="en-US" w:eastAsia="zh-CN"/>
        </w:rPr>
        <w:t>代甲方</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收</w:t>
      </w:r>
      <w:r>
        <w:rPr>
          <w:rFonts w:hint="eastAsia" w:ascii="仿宋" w:hAnsi="仿宋" w:eastAsia="仿宋" w:cs="仿宋"/>
          <w:color w:val="auto"/>
          <w:sz w:val="24"/>
          <w:szCs w:val="24"/>
          <w:highlight w:val="none"/>
        </w:rPr>
        <w:t>货单位收货人签字确认工作。若因货物签收手续不清或无效而影响货款结算的,所造成的经济损失全部由乙方承担。</w:t>
      </w:r>
    </w:p>
    <w:p w14:paraId="3B1B0D70">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、因乙方原因发生《</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》丢失,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无法与购货单位对帐，给甲方造成损失的,由乙方负责全额赔偿。</w:t>
      </w:r>
    </w:p>
    <w:p w14:paraId="3222C0C0">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所派遣司机必须严格遵守交通法规及有关车辆行驶规章制度,乙方承担合同期车辆、人员交通安全责任。因运输和卸货(含合同约定由乙方负责的装货)发生意外,其损害后果、法律责任和经济损失均由乙方承担。</w:t>
      </w:r>
    </w:p>
    <w:p w14:paraId="3EA87A06">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、乙方在合同期内,必须服从甲方管理、工作安排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按照规定佩戴劳保用品，劳保用品由乙方负责发放</w:t>
      </w:r>
      <w:r>
        <w:rPr>
          <w:rFonts w:hint="eastAsia" w:ascii="仿宋" w:hAnsi="仿宋" w:eastAsia="仿宋" w:cs="仿宋"/>
          <w:color w:val="auto"/>
          <w:sz w:val="24"/>
          <w:szCs w:val="24"/>
          <w:highlight w:val="none"/>
        </w:rPr>
        <w:t>。发生打架、争吵或受到客户投诉等有损企业形象的事件,依据甲方管理规定给予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p>
    <w:p w14:paraId="4B7D599F">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乙方在装卸粉料时，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严格遵守操作规程，防止粉尘污染，确保符合国家环保标准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由乙方操作不当造成货物损毁或环境污染，</w:t>
      </w:r>
      <w:r>
        <w:rPr>
          <w:rFonts w:hint="eastAsia" w:ascii="仿宋" w:hAnsi="仿宋" w:eastAsia="仿宋" w:cs="仿宋"/>
          <w:color w:val="auto"/>
          <w:sz w:val="24"/>
          <w:szCs w:val="24"/>
          <w:highlight w:val="none"/>
        </w:rPr>
        <w:t>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如果造成损失或甲方（含收货单位）因环保问题而受到处罚时乙方应承担全部责任并全额赔偿损失</w:t>
      </w:r>
      <w:r>
        <w:rPr>
          <w:rFonts w:hint="eastAsia" w:ascii="仿宋" w:hAnsi="仿宋" w:eastAsia="仿宋" w:cs="仿宋"/>
          <w:color w:val="auto"/>
          <w:sz w:val="24"/>
          <w:szCs w:val="24"/>
          <w:highlight w:val="none"/>
        </w:rPr>
        <w:t>。</w:t>
      </w:r>
    </w:p>
    <w:p w14:paraId="48D1F7A4">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乙方需安排专人与</w:t>
      </w:r>
      <w:r>
        <w:rPr>
          <w:rFonts w:hint="eastAsia" w:ascii="仿宋" w:hAnsi="仿宋" w:eastAsia="仿宋" w:cs="仿宋"/>
          <w:color w:val="auto"/>
          <w:sz w:val="24"/>
          <w:szCs w:val="24"/>
          <w:highlight w:val="none"/>
          <w:lang w:val="en-US" w:eastAsia="zh-CN"/>
        </w:rPr>
        <w:t>甲方商务部门</w:t>
      </w:r>
      <w:r>
        <w:rPr>
          <w:rFonts w:hint="eastAsia" w:ascii="仿宋" w:hAnsi="仿宋" w:eastAsia="仿宋" w:cs="仿宋"/>
          <w:color w:val="auto"/>
          <w:sz w:val="24"/>
          <w:szCs w:val="24"/>
          <w:highlight w:val="none"/>
        </w:rPr>
        <w:t>对接派车事宜。</w:t>
      </w:r>
    </w:p>
    <w:p w14:paraId="53E8A536">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乙方车辆进入甲方厂区及周边区域内，受甲方管理规定约束。乙方车辆进入运输终点厂区及周边区域内，受运输终点所在单位管理规定约束。发生违规情况，按相关规定予以处罚。乙方不得以对相关管理规定不熟悉为由要求免于处罚。</w:t>
      </w:r>
    </w:p>
    <w:p w14:paraId="58422844">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14、乙方使用自有车辆运输胶凝材料，车辆必须在甲方备案。如需使用第三方车辆，须经甲方同意。</w:t>
      </w:r>
    </w:p>
    <w:p w14:paraId="6D2C390D">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15、乙方应按时足额支付乙方职工及业务单位等第三方关联人员的工资、费用等，由此引起的账务纠纷与甲方无关。</w:t>
      </w:r>
    </w:p>
    <w:p w14:paraId="2768E23E">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16、如乙方两次拒单或延误装车影响客户充填的，甲方有权终止合同，如若出现合同终止事项，则甲方扣除100%</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val="en-US" w:eastAsia="zh-CN"/>
        </w:rPr>
        <w:t>；如乙方不服从甲方（或甲方客户）管理，给甲方造成重大损失（5万元及以上的），甲方有权终止合同，并扣除乙方</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不足部分从运输费用中扣除</w:t>
      </w:r>
      <w:r>
        <w:rPr>
          <w:rFonts w:hint="eastAsia" w:ascii="仿宋" w:hAnsi="仿宋" w:eastAsia="仿宋" w:cs="仿宋"/>
          <w:color w:val="auto"/>
          <w:sz w:val="24"/>
          <w:szCs w:val="24"/>
          <w:highlight w:val="none"/>
          <w:lang w:eastAsia="zh-CN"/>
        </w:rPr>
        <w:t>。</w:t>
      </w:r>
    </w:p>
    <w:p w14:paraId="57E13C1A">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十一、安全履约保证金及价格调整</w:t>
      </w:r>
    </w:p>
    <w:p w14:paraId="458A8136">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1、为保证合同的严格履行,乙方应在本合同签订之日起7个</w:t>
      </w:r>
      <w:r>
        <w:rPr>
          <w:rFonts w:hint="eastAsia" w:ascii="仿宋" w:hAnsi="仿宋" w:eastAsia="仿宋" w:cs="仿宋"/>
          <w:color w:val="auto"/>
          <w:sz w:val="24"/>
          <w:szCs w:val="24"/>
          <w:highlight w:val="none"/>
          <w:lang w:val="en-US" w:eastAsia="zh-CN"/>
        </w:rPr>
        <w:t>工作日</w:t>
      </w:r>
      <w:r>
        <w:rPr>
          <w:rFonts w:hint="eastAsia" w:ascii="仿宋" w:hAnsi="仿宋" w:eastAsia="仿宋" w:cs="仿宋"/>
          <w:color w:val="auto"/>
          <w:sz w:val="24"/>
          <w:szCs w:val="24"/>
          <w:highlight w:val="none"/>
        </w:rPr>
        <w:t>内，向甲方足额缴纳安全履约保证金，具体标准如下</w:t>
      </w:r>
      <w:r>
        <w:rPr>
          <w:rFonts w:hint="eastAsia" w:ascii="仿宋" w:hAnsi="仿宋" w:eastAsia="仿宋" w:cs="仿宋"/>
          <w:color w:val="auto"/>
          <w:sz w:val="24"/>
          <w:szCs w:val="24"/>
          <w:highlight w:val="none"/>
          <w:lang w:eastAsia="zh-CN"/>
        </w:rPr>
        <w:t>。</w:t>
      </w:r>
    </w:p>
    <w:p w14:paraId="00B69D7D">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（1）针对庐江矿业项目：保证金金额为人民币肆拾万元整（¥400,000.00）；</w:t>
      </w:r>
    </w:p>
    <w:p w14:paraId="04FD1E1D">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（2)针对其他矿山项目：保证金金额为对应合同总金额的20%。</w:t>
      </w:r>
    </w:p>
    <w:p w14:paraId="20208E24">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2、履约保证金缴纳方式：</w:t>
      </w:r>
    </w:p>
    <w:p w14:paraId="1BDF62D6">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（1）以现金形式缴纳； </w:t>
      </w:r>
    </w:p>
    <w:p w14:paraId="77B15BC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（2）若乙方在铜冠建安公司有超过履约保证金数额的应收账款，可以出具申请书，申请将部分应收账款转为履约保证金； </w:t>
      </w:r>
    </w:p>
    <w:p w14:paraId="1E708A99">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（3）乙方可提供中国工商银行、中国农业银行、中国银行、中国建设银行中任意一家银行出具的银行履约保函，作为履约保证金缴纳方式。</w:t>
      </w:r>
    </w:p>
    <w:p w14:paraId="3CEB4286">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经协商，本合同采取第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条履约保证金缴纳方式。</w:t>
      </w:r>
    </w:p>
    <w:p w14:paraId="397DF4D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安全履约保证金在合同终止且双方结算完毕后</w:t>
      </w:r>
      <w:r>
        <w:rPr>
          <w:rFonts w:hint="eastAsia" w:ascii="仿宋" w:hAnsi="仿宋" w:eastAsia="仿宋" w:cs="仿宋"/>
          <w:color w:val="auto"/>
          <w:sz w:val="24"/>
          <w:szCs w:val="24"/>
          <w:highlight w:val="none"/>
          <w:lang w:val="en-US" w:eastAsia="zh-CN"/>
        </w:rPr>
        <w:t>一个月内</w:t>
      </w:r>
      <w:r>
        <w:rPr>
          <w:rFonts w:hint="eastAsia" w:ascii="仿宋" w:hAnsi="仿宋" w:eastAsia="仿宋" w:cs="仿宋"/>
          <w:color w:val="auto"/>
          <w:sz w:val="24"/>
          <w:szCs w:val="24"/>
          <w:highlight w:val="none"/>
        </w:rPr>
        <w:t>无息返还。</w:t>
      </w:r>
    </w:p>
    <w:p w14:paraId="66E2DBC0">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4、合同期内，</w:t>
      </w:r>
      <w:r>
        <w:rPr>
          <w:rFonts w:hint="eastAsia" w:ascii="仿宋" w:hAnsi="仿宋" w:eastAsia="仿宋" w:cs="仿宋"/>
          <w:color w:val="auto"/>
          <w:sz w:val="24"/>
          <w:szCs w:val="24"/>
          <w:highlight w:val="none"/>
          <w:lang w:eastAsia="zh-CN"/>
        </w:rPr>
        <w:t>如若市场油价较</w:t>
      </w:r>
      <w:r>
        <w:rPr>
          <w:rFonts w:hint="eastAsia" w:ascii="仿宋" w:hAnsi="仿宋" w:eastAsia="仿宋" w:cs="仿宋"/>
          <w:b/>
          <w:bCs/>
          <w:color w:val="auto"/>
          <w:sz w:val="24"/>
          <w:szCs w:val="24"/>
          <w:highlight w:val="none"/>
          <w:lang w:val="en-US" w:eastAsia="zh-CN"/>
        </w:rPr>
        <w:t>本次竞价比价</w:t>
      </w:r>
      <w:r>
        <w:rPr>
          <w:rFonts w:hint="eastAsia" w:ascii="仿宋" w:hAnsi="仿宋" w:eastAsia="仿宋" w:cs="仿宋"/>
          <w:b/>
          <w:bCs/>
          <w:color w:val="auto"/>
          <w:sz w:val="24"/>
          <w:szCs w:val="24"/>
          <w:highlight w:val="none"/>
          <w:lang w:eastAsia="zh-CN"/>
        </w:rPr>
        <w:t>时</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油价</w:t>
      </w:r>
      <w:r>
        <w:rPr>
          <w:rFonts w:hint="eastAsia" w:ascii="仿宋" w:hAnsi="仿宋" w:eastAsia="仿宋" w:cs="仿宋"/>
          <w:color w:val="auto"/>
          <w:sz w:val="24"/>
          <w:szCs w:val="24"/>
          <w:highlight w:val="none"/>
          <w:lang w:eastAsia="zh-CN"/>
        </w:rPr>
        <w:t>涨跌幅度</w:t>
      </w:r>
      <w:r>
        <w:rPr>
          <w:rFonts w:hint="eastAsia" w:ascii="仿宋" w:hAnsi="仿宋" w:eastAsia="仿宋" w:cs="仿宋"/>
          <w:color w:val="auto"/>
          <w:sz w:val="24"/>
          <w:szCs w:val="24"/>
          <w:highlight w:val="none"/>
          <w:lang w:val="en-US" w:eastAsia="zh-CN"/>
        </w:rPr>
        <w:t>达1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以上</w:t>
      </w:r>
      <w:r>
        <w:rPr>
          <w:rFonts w:hint="eastAsia" w:ascii="仿宋" w:hAnsi="仿宋" w:eastAsia="仿宋" w:cs="仿宋"/>
          <w:color w:val="auto"/>
          <w:sz w:val="24"/>
          <w:szCs w:val="24"/>
          <w:highlight w:val="none"/>
          <w:lang w:eastAsia="zh-CN"/>
        </w:rPr>
        <w:t>，因此导致运输成本增加</w:t>
      </w:r>
      <w:r>
        <w:rPr>
          <w:rFonts w:hint="eastAsia" w:ascii="仿宋" w:hAnsi="仿宋" w:eastAsia="仿宋" w:cs="仿宋"/>
          <w:color w:val="auto"/>
          <w:sz w:val="24"/>
          <w:szCs w:val="24"/>
          <w:highlight w:val="none"/>
          <w:lang w:val="en-US" w:eastAsia="zh-CN"/>
        </w:rPr>
        <w:t>/减少</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在结算基价基础上按下列标准进行调整：</w:t>
      </w:r>
    </w:p>
    <w:tbl>
      <w:tblPr>
        <w:tblStyle w:val="46"/>
        <w:tblW w:w="0" w:type="auto"/>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948"/>
        <w:gridCol w:w="2005"/>
        <w:gridCol w:w="1773"/>
        <w:gridCol w:w="2195"/>
      </w:tblGrid>
      <w:tr w14:paraId="68AE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965" w:type="dxa"/>
            <w:noWrap w:val="0"/>
            <w:vAlign w:val="center"/>
          </w:tcPr>
          <w:p w14:paraId="6086A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基础价格（元）</w:t>
            </w:r>
          </w:p>
        </w:tc>
        <w:tc>
          <w:tcPr>
            <w:tcW w:w="1948" w:type="dxa"/>
            <w:noWrap w:val="0"/>
            <w:vAlign w:val="center"/>
          </w:tcPr>
          <w:p w14:paraId="497B1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上浮区间（</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w:t>
            </w:r>
          </w:p>
        </w:tc>
        <w:tc>
          <w:tcPr>
            <w:tcW w:w="2005" w:type="dxa"/>
            <w:noWrap w:val="0"/>
            <w:vAlign w:val="center"/>
          </w:tcPr>
          <w:p w14:paraId="7BBD5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上调价格（元）</w:t>
            </w:r>
          </w:p>
        </w:tc>
        <w:tc>
          <w:tcPr>
            <w:tcW w:w="1773" w:type="dxa"/>
            <w:noWrap w:val="0"/>
            <w:vAlign w:val="center"/>
          </w:tcPr>
          <w:p w14:paraId="34F23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eastAsia="zh-CN"/>
              </w:rPr>
              <w:t>下浮区间（</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w:t>
            </w:r>
          </w:p>
        </w:tc>
        <w:tc>
          <w:tcPr>
            <w:tcW w:w="2195" w:type="dxa"/>
            <w:noWrap w:val="0"/>
            <w:vAlign w:val="center"/>
          </w:tcPr>
          <w:p w14:paraId="2502B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eastAsia="zh-CN"/>
              </w:rPr>
              <w:t>下调价格（元）</w:t>
            </w:r>
          </w:p>
        </w:tc>
      </w:tr>
      <w:tr w14:paraId="1C41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65" w:type="dxa"/>
            <w:vMerge w:val="restart"/>
            <w:noWrap w:val="0"/>
            <w:vAlign w:val="center"/>
          </w:tcPr>
          <w:p w14:paraId="569CC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基价</w:t>
            </w:r>
          </w:p>
        </w:tc>
        <w:tc>
          <w:tcPr>
            <w:tcW w:w="1948" w:type="dxa"/>
            <w:noWrap w:val="0"/>
            <w:vAlign w:val="center"/>
          </w:tcPr>
          <w:p w14:paraId="50EC0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11-20%</w:t>
            </w:r>
          </w:p>
        </w:tc>
        <w:tc>
          <w:tcPr>
            <w:tcW w:w="2005" w:type="dxa"/>
            <w:noWrap w:val="0"/>
            <w:vAlign w:val="center"/>
          </w:tcPr>
          <w:p w14:paraId="7764F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+0.5</w:t>
            </w:r>
          </w:p>
        </w:tc>
        <w:tc>
          <w:tcPr>
            <w:tcW w:w="1773" w:type="dxa"/>
            <w:noWrap w:val="0"/>
            <w:vAlign w:val="center"/>
          </w:tcPr>
          <w:p w14:paraId="7E984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11-20%</w:t>
            </w:r>
          </w:p>
        </w:tc>
        <w:tc>
          <w:tcPr>
            <w:tcW w:w="2195" w:type="dxa"/>
            <w:noWrap w:val="0"/>
            <w:vAlign w:val="center"/>
          </w:tcPr>
          <w:p w14:paraId="0C063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+0.5</w:t>
            </w:r>
          </w:p>
        </w:tc>
      </w:tr>
      <w:tr w14:paraId="2F20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65" w:type="dxa"/>
            <w:vMerge w:val="continue"/>
            <w:noWrap w:val="0"/>
            <w:vAlign w:val="center"/>
          </w:tcPr>
          <w:p w14:paraId="53AF0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eastAsia="zh-CN"/>
              </w:rPr>
            </w:pPr>
          </w:p>
        </w:tc>
        <w:tc>
          <w:tcPr>
            <w:tcW w:w="1948" w:type="dxa"/>
            <w:noWrap w:val="0"/>
            <w:vAlign w:val="center"/>
          </w:tcPr>
          <w:p w14:paraId="6797A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21-30%</w:t>
            </w:r>
          </w:p>
        </w:tc>
        <w:tc>
          <w:tcPr>
            <w:tcW w:w="2005" w:type="dxa"/>
            <w:noWrap w:val="0"/>
            <w:vAlign w:val="center"/>
          </w:tcPr>
          <w:p w14:paraId="07E84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773" w:type="dxa"/>
            <w:noWrap w:val="0"/>
            <w:vAlign w:val="center"/>
          </w:tcPr>
          <w:p w14:paraId="6B52B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21-30%</w:t>
            </w:r>
          </w:p>
        </w:tc>
        <w:tc>
          <w:tcPr>
            <w:tcW w:w="2195" w:type="dxa"/>
            <w:noWrap w:val="0"/>
            <w:vAlign w:val="center"/>
          </w:tcPr>
          <w:p w14:paraId="02B61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r>
      <w:tr w14:paraId="2A78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886" w:type="dxa"/>
            <w:gridSpan w:val="5"/>
            <w:noWrap w:val="0"/>
            <w:vAlign w:val="center"/>
          </w:tcPr>
          <w:p w14:paraId="6585F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备注：当油价上浮</w:t>
            </w:r>
            <w:r>
              <w:rPr>
                <w:rFonts w:hint="eastAsia" w:ascii="仿宋" w:hAnsi="仿宋" w:eastAsia="仿宋" w:cs="仿宋"/>
                <w:color w:val="auto"/>
                <w:sz w:val="24"/>
                <w:szCs w:val="24"/>
                <w:highlight w:val="none"/>
                <w:vertAlign w:val="baseline"/>
                <w:lang w:val="en-US" w:eastAsia="zh-CN"/>
              </w:rPr>
              <w:t>/下浮超过30%以上，运输单价</w:t>
            </w:r>
            <w:r>
              <w:rPr>
                <w:rFonts w:hint="eastAsia" w:ascii="仿宋" w:hAnsi="仿宋" w:eastAsia="仿宋" w:cs="仿宋"/>
                <w:color w:val="auto"/>
                <w:sz w:val="24"/>
                <w:szCs w:val="24"/>
                <w:highlight w:val="none"/>
              </w:rPr>
              <w:t>双方</w:t>
            </w:r>
            <w:r>
              <w:rPr>
                <w:rFonts w:hint="eastAsia" w:ascii="仿宋" w:hAnsi="仿宋" w:eastAsia="仿宋" w:cs="仿宋"/>
                <w:color w:val="auto"/>
                <w:sz w:val="24"/>
                <w:szCs w:val="24"/>
                <w:highlight w:val="none"/>
                <w:lang w:eastAsia="zh-CN"/>
              </w:rPr>
              <w:t>再行</w:t>
            </w:r>
            <w:r>
              <w:rPr>
                <w:rFonts w:hint="eastAsia" w:ascii="仿宋" w:hAnsi="仿宋" w:eastAsia="仿宋" w:cs="仿宋"/>
                <w:color w:val="auto"/>
                <w:sz w:val="24"/>
                <w:szCs w:val="24"/>
                <w:highlight w:val="none"/>
              </w:rPr>
              <w:t>协商</w:t>
            </w:r>
            <w:r>
              <w:rPr>
                <w:rFonts w:hint="eastAsia" w:ascii="仿宋" w:hAnsi="仿宋" w:eastAsia="仿宋" w:cs="仿宋"/>
                <w:color w:val="auto"/>
                <w:sz w:val="24"/>
                <w:szCs w:val="24"/>
                <w:highlight w:val="none"/>
                <w:vertAlign w:val="baseline"/>
                <w:lang w:val="en-US" w:eastAsia="zh-CN"/>
              </w:rPr>
              <w:t>。</w:t>
            </w:r>
          </w:p>
        </w:tc>
      </w:tr>
    </w:tbl>
    <w:p w14:paraId="6034826B">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十二、违约责任</w:t>
      </w:r>
    </w:p>
    <w:p w14:paraId="2612097B">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1、乙方提供的服务未达到合同约定服务标准的,甲方有权暂停乙方运输资格或立即终止合同。</w:t>
      </w:r>
    </w:p>
    <w:p w14:paraId="490AD037">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4"/>
          <w:szCs w:val="24"/>
          <w:highlight w:val="none"/>
        </w:rPr>
        <w:t>2、甲、乙双方任何一方如违反本合同约定,对方均有权解除合同,造成对方经济损失的，由违约方负责赔偿。</w:t>
      </w:r>
    </w:p>
    <w:sectPr>
      <w:pgSz w:w="11906" w:h="16838"/>
      <w:pgMar w:top="1417" w:right="846"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w:t>
    </w:r>
    <w:r>
      <w:rPr>
        <w:rFonts w:hint="eastAsia"/>
        <w:highlight w:val="none"/>
        <w:u w:val="single"/>
      </w:rPr>
      <w:t>建筑安装股</w:t>
    </w:r>
    <w:r>
      <w:rPr>
        <w:rFonts w:hint="eastAsia"/>
        <w:u w:val="single"/>
      </w:rPr>
      <w:t>份有限公司　　　　　　　　</w:t>
    </w:r>
    <w:r>
      <w:rPr>
        <w:rFonts w:hint="eastAsia"/>
        <w:u w:val="single"/>
        <w:lang w:val="en-US" w:eastAsia="zh-CN"/>
      </w:rPr>
      <w:t>胶凝材料运输询比采购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胶凝材料运输询比采购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05B1">
    <w:r>
      <w:rPr>
        <w:u w:val="single"/>
      </w:rPr>
      <w:drawing>
        <wp:inline distT="0" distB="0" distL="0" distR="0">
          <wp:extent cx="223520" cy="201930"/>
          <wp:effectExtent l="19050" t="0" r="0" b="0"/>
          <wp:docPr id="5" name="图片 5"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胶凝材料运输询比采购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6C553"/>
    <w:multiLevelType w:val="singleLevel"/>
    <w:tmpl w:val="81C6C553"/>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034A3CF8"/>
    <w:multiLevelType w:val="singleLevel"/>
    <w:tmpl w:val="034A3CF8"/>
    <w:lvl w:ilvl="0" w:tentative="0">
      <w:start w:val="13"/>
      <w:numFmt w:val="chineseCounting"/>
      <w:suff w:val="nothing"/>
      <w:lvlText w:val="%1、"/>
      <w:lvlJc w:val="left"/>
      <w:rPr>
        <w:rFonts w:hint="eastAsia"/>
      </w:rPr>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8FC57"/>
    <w:multiLevelType w:val="singleLevel"/>
    <w:tmpl w:val="13B8FC57"/>
    <w:lvl w:ilvl="0" w:tentative="0">
      <w:start w:val="1"/>
      <w:numFmt w:val="decimal"/>
      <w:suff w:val="nothing"/>
      <w:lvlText w:val="%1、"/>
      <w:lvlJc w:val="left"/>
    </w:lvl>
  </w:abstractNum>
  <w:abstractNum w:abstractNumId="5">
    <w:nsid w:val="14A7B440"/>
    <w:multiLevelType w:val="singleLevel"/>
    <w:tmpl w:val="14A7B440"/>
    <w:lvl w:ilvl="0" w:tentative="0">
      <w:start w:val="1"/>
      <w:numFmt w:val="chineseCounting"/>
      <w:suff w:val="nothing"/>
      <w:lvlText w:val="%1、"/>
      <w:lvlJc w:val="left"/>
      <w:rPr>
        <w:rFonts w:hint="eastAsia"/>
      </w:rPr>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637ADBB"/>
    <w:multiLevelType w:val="singleLevel"/>
    <w:tmpl w:val="4637ADBB"/>
    <w:lvl w:ilvl="0" w:tentative="0">
      <w:start w:val="9"/>
      <w:numFmt w:val="chineseCounting"/>
      <w:suff w:val="nothing"/>
      <w:lvlText w:val="%1、"/>
      <w:lvlJc w:val="left"/>
      <w:rPr>
        <w:rFonts w:hint="eastAsia"/>
      </w:rPr>
    </w:lvl>
  </w:abstractNum>
  <w:num w:numId="1">
    <w:abstractNumId w:val="6"/>
  </w:num>
  <w:num w:numId="2">
    <w:abstractNumId w:val="3"/>
  </w:num>
  <w:num w:numId="3">
    <w:abstractNumId w:val="7"/>
  </w:num>
  <w:num w:numId="4">
    <w:abstractNumId w:val="1"/>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738EE"/>
    <w:rsid w:val="01AF2C21"/>
    <w:rsid w:val="022A6766"/>
    <w:rsid w:val="025370AD"/>
    <w:rsid w:val="02696283"/>
    <w:rsid w:val="02DD1A2B"/>
    <w:rsid w:val="0301396B"/>
    <w:rsid w:val="031C2553"/>
    <w:rsid w:val="039667A9"/>
    <w:rsid w:val="03980C9F"/>
    <w:rsid w:val="03E75026"/>
    <w:rsid w:val="04324B28"/>
    <w:rsid w:val="0479149D"/>
    <w:rsid w:val="04CF6EEC"/>
    <w:rsid w:val="05103A0B"/>
    <w:rsid w:val="05393890"/>
    <w:rsid w:val="055204AE"/>
    <w:rsid w:val="059565ED"/>
    <w:rsid w:val="05BF33B5"/>
    <w:rsid w:val="05EB48F5"/>
    <w:rsid w:val="06093262"/>
    <w:rsid w:val="06587D46"/>
    <w:rsid w:val="067D01D2"/>
    <w:rsid w:val="068C3E93"/>
    <w:rsid w:val="06B01930"/>
    <w:rsid w:val="06D33870"/>
    <w:rsid w:val="07091040"/>
    <w:rsid w:val="072F12C0"/>
    <w:rsid w:val="07306784"/>
    <w:rsid w:val="074958E1"/>
    <w:rsid w:val="084A3F14"/>
    <w:rsid w:val="086B7EE6"/>
    <w:rsid w:val="08FD6983"/>
    <w:rsid w:val="08FF094D"/>
    <w:rsid w:val="091837BC"/>
    <w:rsid w:val="098B6DD1"/>
    <w:rsid w:val="09A3577C"/>
    <w:rsid w:val="09E06401"/>
    <w:rsid w:val="0A026946"/>
    <w:rsid w:val="0A231745"/>
    <w:rsid w:val="0A9B46A5"/>
    <w:rsid w:val="0A9E1234"/>
    <w:rsid w:val="0AA7731A"/>
    <w:rsid w:val="0B1B65D7"/>
    <w:rsid w:val="0B2B537E"/>
    <w:rsid w:val="0B512FB6"/>
    <w:rsid w:val="0B6D6042"/>
    <w:rsid w:val="0BBA0AF6"/>
    <w:rsid w:val="0BEC5846"/>
    <w:rsid w:val="0BFF2A12"/>
    <w:rsid w:val="0C084B3C"/>
    <w:rsid w:val="0C3D1EB8"/>
    <w:rsid w:val="0C6241B2"/>
    <w:rsid w:val="0C742CC6"/>
    <w:rsid w:val="0D166265"/>
    <w:rsid w:val="0D2B4E23"/>
    <w:rsid w:val="0D692839"/>
    <w:rsid w:val="0DCB52A1"/>
    <w:rsid w:val="0DD95C10"/>
    <w:rsid w:val="0E1327A4"/>
    <w:rsid w:val="0E3E5A73"/>
    <w:rsid w:val="0E6F3E7F"/>
    <w:rsid w:val="0E745939"/>
    <w:rsid w:val="0E8044EC"/>
    <w:rsid w:val="0E876D2F"/>
    <w:rsid w:val="0EB21FBD"/>
    <w:rsid w:val="0EC82FD7"/>
    <w:rsid w:val="0EDB1514"/>
    <w:rsid w:val="0EF425D6"/>
    <w:rsid w:val="0F352373"/>
    <w:rsid w:val="0F4470B9"/>
    <w:rsid w:val="0F7A0D2D"/>
    <w:rsid w:val="0F953DB9"/>
    <w:rsid w:val="0FCD3553"/>
    <w:rsid w:val="10181623"/>
    <w:rsid w:val="10476584"/>
    <w:rsid w:val="106C38E3"/>
    <w:rsid w:val="11196324"/>
    <w:rsid w:val="11427629"/>
    <w:rsid w:val="1195471E"/>
    <w:rsid w:val="11B739DA"/>
    <w:rsid w:val="11C20769"/>
    <w:rsid w:val="12083F5F"/>
    <w:rsid w:val="122338FE"/>
    <w:rsid w:val="122F7967"/>
    <w:rsid w:val="125E4C7B"/>
    <w:rsid w:val="1286785F"/>
    <w:rsid w:val="12883761"/>
    <w:rsid w:val="12A820AD"/>
    <w:rsid w:val="12D25F7C"/>
    <w:rsid w:val="13F53078"/>
    <w:rsid w:val="149B034A"/>
    <w:rsid w:val="14AE3227"/>
    <w:rsid w:val="1500314F"/>
    <w:rsid w:val="15721970"/>
    <w:rsid w:val="15802E15"/>
    <w:rsid w:val="16D01498"/>
    <w:rsid w:val="16FF7D6A"/>
    <w:rsid w:val="1715758D"/>
    <w:rsid w:val="172F68A1"/>
    <w:rsid w:val="178D16D0"/>
    <w:rsid w:val="17C837F7"/>
    <w:rsid w:val="17D86D23"/>
    <w:rsid w:val="1830291B"/>
    <w:rsid w:val="18504D21"/>
    <w:rsid w:val="187417C5"/>
    <w:rsid w:val="18AF15FD"/>
    <w:rsid w:val="18DE057F"/>
    <w:rsid w:val="196038C1"/>
    <w:rsid w:val="198C1092"/>
    <w:rsid w:val="19CA6206"/>
    <w:rsid w:val="1A2F05AD"/>
    <w:rsid w:val="1ABC669E"/>
    <w:rsid w:val="1AE5658C"/>
    <w:rsid w:val="1B1C0EEA"/>
    <w:rsid w:val="1B7B6D63"/>
    <w:rsid w:val="1BBF797C"/>
    <w:rsid w:val="1BFB18C8"/>
    <w:rsid w:val="1C24274C"/>
    <w:rsid w:val="1C290C2C"/>
    <w:rsid w:val="1C602FB9"/>
    <w:rsid w:val="1C7D3C0B"/>
    <w:rsid w:val="1C865229"/>
    <w:rsid w:val="1C92116A"/>
    <w:rsid w:val="1CBC0BD7"/>
    <w:rsid w:val="1CD31A7D"/>
    <w:rsid w:val="1D3C1D18"/>
    <w:rsid w:val="1D6F49ED"/>
    <w:rsid w:val="1D6F4C43"/>
    <w:rsid w:val="1D9531D6"/>
    <w:rsid w:val="1DA13929"/>
    <w:rsid w:val="1DA5166B"/>
    <w:rsid w:val="1DAA6C81"/>
    <w:rsid w:val="1DED6B6E"/>
    <w:rsid w:val="1DEE2CCA"/>
    <w:rsid w:val="1E1862E1"/>
    <w:rsid w:val="1E8C282B"/>
    <w:rsid w:val="1F855971"/>
    <w:rsid w:val="20191E9C"/>
    <w:rsid w:val="2037683E"/>
    <w:rsid w:val="20711CD8"/>
    <w:rsid w:val="20B22562"/>
    <w:rsid w:val="20F57ADE"/>
    <w:rsid w:val="21820D0A"/>
    <w:rsid w:val="21A61547"/>
    <w:rsid w:val="21EF60F0"/>
    <w:rsid w:val="225C0752"/>
    <w:rsid w:val="23412FE6"/>
    <w:rsid w:val="236C49D9"/>
    <w:rsid w:val="23771391"/>
    <w:rsid w:val="237A7171"/>
    <w:rsid w:val="23FC26F5"/>
    <w:rsid w:val="24613E12"/>
    <w:rsid w:val="246E6DF4"/>
    <w:rsid w:val="24CA19B7"/>
    <w:rsid w:val="24F240EB"/>
    <w:rsid w:val="25397BCB"/>
    <w:rsid w:val="25590EC9"/>
    <w:rsid w:val="257F27A2"/>
    <w:rsid w:val="25F34F3E"/>
    <w:rsid w:val="25F7787F"/>
    <w:rsid w:val="261A071C"/>
    <w:rsid w:val="26211AAB"/>
    <w:rsid w:val="26996894"/>
    <w:rsid w:val="26A26CEB"/>
    <w:rsid w:val="2755433D"/>
    <w:rsid w:val="27982240"/>
    <w:rsid w:val="27F95E40"/>
    <w:rsid w:val="28F6721F"/>
    <w:rsid w:val="291412D4"/>
    <w:rsid w:val="29492BAC"/>
    <w:rsid w:val="295D3061"/>
    <w:rsid w:val="29606D8E"/>
    <w:rsid w:val="297E0FC2"/>
    <w:rsid w:val="299D4A4C"/>
    <w:rsid w:val="29A812EF"/>
    <w:rsid w:val="2A1902C2"/>
    <w:rsid w:val="2A9C0C1B"/>
    <w:rsid w:val="2B0D1570"/>
    <w:rsid w:val="2B532F4F"/>
    <w:rsid w:val="2BFD6B16"/>
    <w:rsid w:val="2C64541C"/>
    <w:rsid w:val="2C7C5C8D"/>
    <w:rsid w:val="2C995D0F"/>
    <w:rsid w:val="2D3E7816"/>
    <w:rsid w:val="2D6706EB"/>
    <w:rsid w:val="2D774259"/>
    <w:rsid w:val="2E187F9D"/>
    <w:rsid w:val="2E3873C6"/>
    <w:rsid w:val="2EC12D59"/>
    <w:rsid w:val="2ECE6548"/>
    <w:rsid w:val="2F1523C9"/>
    <w:rsid w:val="2F29557C"/>
    <w:rsid w:val="2F6101B9"/>
    <w:rsid w:val="2F6C023B"/>
    <w:rsid w:val="30131353"/>
    <w:rsid w:val="30293393"/>
    <w:rsid w:val="302E70B5"/>
    <w:rsid w:val="30395C43"/>
    <w:rsid w:val="303B19BB"/>
    <w:rsid w:val="306204E7"/>
    <w:rsid w:val="30C21E68"/>
    <w:rsid w:val="30D974B7"/>
    <w:rsid w:val="30E96026"/>
    <w:rsid w:val="311F3E7F"/>
    <w:rsid w:val="314948D9"/>
    <w:rsid w:val="31B9528D"/>
    <w:rsid w:val="322D17D7"/>
    <w:rsid w:val="325A51BE"/>
    <w:rsid w:val="3289567B"/>
    <w:rsid w:val="32BC4E50"/>
    <w:rsid w:val="331E0F20"/>
    <w:rsid w:val="333663C1"/>
    <w:rsid w:val="33482D6D"/>
    <w:rsid w:val="33703A4F"/>
    <w:rsid w:val="337445C0"/>
    <w:rsid w:val="338F274A"/>
    <w:rsid w:val="339C621D"/>
    <w:rsid w:val="33D3159C"/>
    <w:rsid w:val="34284F5F"/>
    <w:rsid w:val="345637D1"/>
    <w:rsid w:val="346848DB"/>
    <w:rsid w:val="34F52A80"/>
    <w:rsid w:val="3529097C"/>
    <w:rsid w:val="354F3A99"/>
    <w:rsid w:val="357B16F3"/>
    <w:rsid w:val="36050FAB"/>
    <w:rsid w:val="36145188"/>
    <w:rsid w:val="362178A5"/>
    <w:rsid w:val="36227ADF"/>
    <w:rsid w:val="36511F38"/>
    <w:rsid w:val="367256CF"/>
    <w:rsid w:val="36CA1CEB"/>
    <w:rsid w:val="36DE1211"/>
    <w:rsid w:val="373B612C"/>
    <w:rsid w:val="37AF03D6"/>
    <w:rsid w:val="37B60ABE"/>
    <w:rsid w:val="37EE64F4"/>
    <w:rsid w:val="37FC4126"/>
    <w:rsid w:val="382E02B2"/>
    <w:rsid w:val="3872263A"/>
    <w:rsid w:val="38784692"/>
    <w:rsid w:val="38C64059"/>
    <w:rsid w:val="38C74734"/>
    <w:rsid w:val="38F1355F"/>
    <w:rsid w:val="39934616"/>
    <w:rsid w:val="39DC7C3B"/>
    <w:rsid w:val="3A103EB8"/>
    <w:rsid w:val="3A3173ED"/>
    <w:rsid w:val="3A4E69FC"/>
    <w:rsid w:val="3A611480"/>
    <w:rsid w:val="3A7A3727"/>
    <w:rsid w:val="3AA52853"/>
    <w:rsid w:val="3AC56A51"/>
    <w:rsid w:val="3ACD3B57"/>
    <w:rsid w:val="3B076549"/>
    <w:rsid w:val="3B5009B4"/>
    <w:rsid w:val="3B645DB3"/>
    <w:rsid w:val="3BDF4B21"/>
    <w:rsid w:val="3BE92C13"/>
    <w:rsid w:val="3C1A7270"/>
    <w:rsid w:val="3C5B75D3"/>
    <w:rsid w:val="3C7823C8"/>
    <w:rsid w:val="3CB46D7D"/>
    <w:rsid w:val="3D3A7C13"/>
    <w:rsid w:val="3D74650C"/>
    <w:rsid w:val="3DB159B2"/>
    <w:rsid w:val="3DC57BD0"/>
    <w:rsid w:val="3DCB0822"/>
    <w:rsid w:val="3DCC4487"/>
    <w:rsid w:val="3E474521"/>
    <w:rsid w:val="3EF47B3D"/>
    <w:rsid w:val="3F1F079B"/>
    <w:rsid w:val="3F2E470A"/>
    <w:rsid w:val="3F7B75DE"/>
    <w:rsid w:val="3F8D52CA"/>
    <w:rsid w:val="3F953A3C"/>
    <w:rsid w:val="3F9D61EE"/>
    <w:rsid w:val="3FCA68B7"/>
    <w:rsid w:val="40C47A67"/>
    <w:rsid w:val="412D70FE"/>
    <w:rsid w:val="414D3E27"/>
    <w:rsid w:val="41525675"/>
    <w:rsid w:val="419D4283"/>
    <w:rsid w:val="41AA074E"/>
    <w:rsid w:val="41B46B47"/>
    <w:rsid w:val="41EC6FB9"/>
    <w:rsid w:val="424B79E0"/>
    <w:rsid w:val="4252770E"/>
    <w:rsid w:val="427D651B"/>
    <w:rsid w:val="42A70A2B"/>
    <w:rsid w:val="42F63800"/>
    <w:rsid w:val="4304767F"/>
    <w:rsid w:val="43293E9E"/>
    <w:rsid w:val="434963F7"/>
    <w:rsid w:val="438A4CDB"/>
    <w:rsid w:val="439F612A"/>
    <w:rsid w:val="43A538C3"/>
    <w:rsid w:val="43C84B06"/>
    <w:rsid w:val="43CB5281"/>
    <w:rsid w:val="43F74F20"/>
    <w:rsid w:val="441344E9"/>
    <w:rsid w:val="44842956"/>
    <w:rsid w:val="449E657A"/>
    <w:rsid w:val="44B922E9"/>
    <w:rsid w:val="454315E6"/>
    <w:rsid w:val="455410FD"/>
    <w:rsid w:val="45D43FEC"/>
    <w:rsid w:val="45EF7078"/>
    <w:rsid w:val="46045E94"/>
    <w:rsid w:val="4642189D"/>
    <w:rsid w:val="464949DA"/>
    <w:rsid w:val="465E02D2"/>
    <w:rsid w:val="466979AB"/>
    <w:rsid w:val="46B37FF9"/>
    <w:rsid w:val="471400CF"/>
    <w:rsid w:val="472C3839"/>
    <w:rsid w:val="47944AB8"/>
    <w:rsid w:val="48BF72F3"/>
    <w:rsid w:val="490E63A6"/>
    <w:rsid w:val="499C3073"/>
    <w:rsid w:val="499D4ACB"/>
    <w:rsid w:val="49EC0EA9"/>
    <w:rsid w:val="4A1C7E79"/>
    <w:rsid w:val="4A1E59B7"/>
    <w:rsid w:val="4AA04DE4"/>
    <w:rsid w:val="4B0C67B3"/>
    <w:rsid w:val="4BA803F5"/>
    <w:rsid w:val="4BBA0128"/>
    <w:rsid w:val="4C0C763A"/>
    <w:rsid w:val="4C9B1D07"/>
    <w:rsid w:val="4CBA4AF2"/>
    <w:rsid w:val="4CCA439B"/>
    <w:rsid w:val="4CEB320D"/>
    <w:rsid w:val="4D0647CF"/>
    <w:rsid w:val="4D9F7BB9"/>
    <w:rsid w:val="4DA8143A"/>
    <w:rsid w:val="4E45017D"/>
    <w:rsid w:val="4E791BD4"/>
    <w:rsid w:val="4E822997"/>
    <w:rsid w:val="4ED20DFA"/>
    <w:rsid w:val="4F0F5DA2"/>
    <w:rsid w:val="4F397E6D"/>
    <w:rsid w:val="4F464194"/>
    <w:rsid w:val="4F764499"/>
    <w:rsid w:val="4FA72771"/>
    <w:rsid w:val="4FD33681"/>
    <w:rsid w:val="504C2BE7"/>
    <w:rsid w:val="505446A7"/>
    <w:rsid w:val="505C17AE"/>
    <w:rsid w:val="50B629DB"/>
    <w:rsid w:val="513756A7"/>
    <w:rsid w:val="516923D4"/>
    <w:rsid w:val="51750D79"/>
    <w:rsid w:val="51825669"/>
    <w:rsid w:val="5196753F"/>
    <w:rsid w:val="519A433C"/>
    <w:rsid w:val="51B50E5A"/>
    <w:rsid w:val="51F67AC6"/>
    <w:rsid w:val="52534714"/>
    <w:rsid w:val="526C1FF2"/>
    <w:rsid w:val="5322748C"/>
    <w:rsid w:val="53810440"/>
    <w:rsid w:val="538C532D"/>
    <w:rsid w:val="53BA6E40"/>
    <w:rsid w:val="54243352"/>
    <w:rsid w:val="54C17E31"/>
    <w:rsid w:val="554830C1"/>
    <w:rsid w:val="554A6079"/>
    <w:rsid w:val="557B0928"/>
    <w:rsid w:val="561D5CBD"/>
    <w:rsid w:val="56300C76"/>
    <w:rsid w:val="563F3E8D"/>
    <w:rsid w:val="5641748B"/>
    <w:rsid w:val="56424FA2"/>
    <w:rsid w:val="56B4262E"/>
    <w:rsid w:val="56F75D8C"/>
    <w:rsid w:val="573963A5"/>
    <w:rsid w:val="575B631B"/>
    <w:rsid w:val="576158FB"/>
    <w:rsid w:val="579C59EC"/>
    <w:rsid w:val="57A05D18"/>
    <w:rsid w:val="57AD55DD"/>
    <w:rsid w:val="5807041D"/>
    <w:rsid w:val="583F79D3"/>
    <w:rsid w:val="58691989"/>
    <w:rsid w:val="58873140"/>
    <w:rsid w:val="58C048EF"/>
    <w:rsid w:val="58C6010C"/>
    <w:rsid w:val="58F960F8"/>
    <w:rsid w:val="594F7761"/>
    <w:rsid w:val="59672964"/>
    <w:rsid w:val="59900C4D"/>
    <w:rsid w:val="599C0E6D"/>
    <w:rsid w:val="59C935F6"/>
    <w:rsid w:val="59CC52AE"/>
    <w:rsid w:val="59EB395B"/>
    <w:rsid w:val="5A251A57"/>
    <w:rsid w:val="5A625C12"/>
    <w:rsid w:val="5A697C7E"/>
    <w:rsid w:val="5A947382"/>
    <w:rsid w:val="5A9D4E9D"/>
    <w:rsid w:val="5ABC477B"/>
    <w:rsid w:val="5AD47530"/>
    <w:rsid w:val="5B2D7FCE"/>
    <w:rsid w:val="5B5437AD"/>
    <w:rsid w:val="5B750193"/>
    <w:rsid w:val="5B7976B8"/>
    <w:rsid w:val="5BC14BBB"/>
    <w:rsid w:val="5C13016C"/>
    <w:rsid w:val="5C1E1084"/>
    <w:rsid w:val="5C775650"/>
    <w:rsid w:val="5C974AF9"/>
    <w:rsid w:val="5CCB7A9F"/>
    <w:rsid w:val="5CF3349A"/>
    <w:rsid w:val="5D0134C1"/>
    <w:rsid w:val="5D2E44D2"/>
    <w:rsid w:val="5D46181B"/>
    <w:rsid w:val="5D6F64C5"/>
    <w:rsid w:val="5DBE13B2"/>
    <w:rsid w:val="5DF9063C"/>
    <w:rsid w:val="5E017E34"/>
    <w:rsid w:val="5E4044BD"/>
    <w:rsid w:val="5E6C7060"/>
    <w:rsid w:val="5ED81A2D"/>
    <w:rsid w:val="5F1712EB"/>
    <w:rsid w:val="5FB567E4"/>
    <w:rsid w:val="60065292"/>
    <w:rsid w:val="601B5879"/>
    <w:rsid w:val="60A96349"/>
    <w:rsid w:val="60F035C2"/>
    <w:rsid w:val="610267D6"/>
    <w:rsid w:val="610D4DEA"/>
    <w:rsid w:val="616C0C8E"/>
    <w:rsid w:val="61AB07CC"/>
    <w:rsid w:val="61C3168D"/>
    <w:rsid w:val="61E73476"/>
    <w:rsid w:val="624F4CCE"/>
    <w:rsid w:val="626C4E3A"/>
    <w:rsid w:val="62AA63A9"/>
    <w:rsid w:val="62B53CBA"/>
    <w:rsid w:val="62DA4EE0"/>
    <w:rsid w:val="6332455D"/>
    <w:rsid w:val="63584057"/>
    <w:rsid w:val="63DD2403"/>
    <w:rsid w:val="63E45615"/>
    <w:rsid w:val="642E3C33"/>
    <w:rsid w:val="646474F6"/>
    <w:rsid w:val="65891471"/>
    <w:rsid w:val="66131908"/>
    <w:rsid w:val="66662DAE"/>
    <w:rsid w:val="66757ADA"/>
    <w:rsid w:val="66CB6466"/>
    <w:rsid w:val="66E03A9F"/>
    <w:rsid w:val="66F57FEB"/>
    <w:rsid w:val="672901E4"/>
    <w:rsid w:val="67445ADA"/>
    <w:rsid w:val="677376B1"/>
    <w:rsid w:val="67D15122"/>
    <w:rsid w:val="685968A7"/>
    <w:rsid w:val="68761B8F"/>
    <w:rsid w:val="68CF0917"/>
    <w:rsid w:val="690C1B6B"/>
    <w:rsid w:val="691E53FA"/>
    <w:rsid w:val="692549DB"/>
    <w:rsid w:val="693602C7"/>
    <w:rsid w:val="693E20EC"/>
    <w:rsid w:val="694E41F6"/>
    <w:rsid w:val="6981796A"/>
    <w:rsid w:val="69AD4D95"/>
    <w:rsid w:val="69D106BF"/>
    <w:rsid w:val="69E60D0A"/>
    <w:rsid w:val="6A315ABB"/>
    <w:rsid w:val="6A7F2C51"/>
    <w:rsid w:val="6A87598F"/>
    <w:rsid w:val="6A9A513C"/>
    <w:rsid w:val="6AB37DC4"/>
    <w:rsid w:val="6ACB3360"/>
    <w:rsid w:val="6AED777A"/>
    <w:rsid w:val="6B1F2406"/>
    <w:rsid w:val="6B302BB3"/>
    <w:rsid w:val="6B56531F"/>
    <w:rsid w:val="6B9B2799"/>
    <w:rsid w:val="6C315445"/>
    <w:rsid w:val="6C5C5C5B"/>
    <w:rsid w:val="6C717289"/>
    <w:rsid w:val="6CC60759"/>
    <w:rsid w:val="6CD7423E"/>
    <w:rsid w:val="6CF90658"/>
    <w:rsid w:val="6D1D0187"/>
    <w:rsid w:val="6D505D9E"/>
    <w:rsid w:val="6DA24149"/>
    <w:rsid w:val="6DFD7CD4"/>
    <w:rsid w:val="6E1119D2"/>
    <w:rsid w:val="6E4C64BB"/>
    <w:rsid w:val="6E4D09A9"/>
    <w:rsid w:val="6E7D0E15"/>
    <w:rsid w:val="6EAE74F5"/>
    <w:rsid w:val="6EC238BC"/>
    <w:rsid w:val="6ED21161"/>
    <w:rsid w:val="6F0B6C96"/>
    <w:rsid w:val="6F1928EC"/>
    <w:rsid w:val="6F285FE2"/>
    <w:rsid w:val="6F2A019B"/>
    <w:rsid w:val="6F6A27B8"/>
    <w:rsid w:val="6F865AA7"/>
    <w:rsid w:val="6FA67EF8"/>
    <w:rsid w:val="6FC0545D"/>
    <w:rsid w:val="6FD809F9"/>
    <w:rsid w:val="6FE32681"/>
    <w:rsid w:val="701F3363"/>
    <w:rsid w:val="703849D5"/>
    <w:rsid w:val="705F4C76"/>
    <w:rsid w:val="706A53C9"/>
    <w:rsid w:val="70712092"/>
    <w:rsid w:val="70912956"/>
    <w:rsid w:val="70BC3E77"/>
    <w:rsid w:val="70E62CA2"/>
    <w:rsid w:val="71091B6B"/>
    <w:rsid w:val="711712EF"/>
    <w:rsid w:val="71350F39"/>
    <w:rsid w:val="71900E5F"/>
    <w:rsid w:val="71956476"/>
    <w:rsid w:val="72155D12"/>
    <w:rsid w:val="72C2329A"/>
    <w:rsid w:val="73BE1EBD"/>
    <w:rsid w:val="742F60FC"/>
    <w:rsid w:val="74924E27"/>
    <w:rsid w:val="749B0247"/>
    <w:rsid w:val="74B57A97"/>
    <w:rsid w:val="74B74AC3"/>
    <w:rsid w:val="74C4154C"/>
    <w:rsid w:val="750D4B8A"/>
    <w:rsid w:val="75271ADB"/>
    <w:rsid w:val="75363862"/>
    <w:rsid w:val="75A66EA3"/>
    <w:rsid w:val="75A924F0"/>
    <w:rsid w:val="75AB7FC4"/>
    <w:rsid w:val="75BA021D"/>
    <w:rsid w:val="75C4732A"/>
    <w:rsid w:val="75E579CC"/>
    <w:rsid w:val="76257065"/>
    <w:rsid w:val="766F01AC"/>
    <w:rsid w:val="76C84BF7"/>
    <w:rsid w:val="76E067DC"/>
    <w:rsid w:val="779C6EAE"/>
    <w:rsid w:val="77DA2E34"/>
    <w:rsid w:val="780A371A"/>
    <w:rsid w:val="780D7AF1"/>
    <w:rsid w:val="781C33ED"/>
    <w:rsid w:val="7833503D"/>
    <w:rsid w:val="787F1108"/>
    <w:rsid w:val="78986F77"/>
    <w:rsid w:val="78D61108"/>
    <w:rsid w:val="791B54B2"/>
    <w:rsid w:val="793439F5"/>
    <w:rsid w:val="794744F9"/>
    <w:rsid w:val="7955321E"/>
    <w:rsid w:val="796E3D99"/>
    <w:rsid w:val="797C3244"/>
    <w:rsid w:val="799139C7"/>
    <w:rsid w:val="79BD5174"/>
    <w:rsid w:val="79EE2BC7"/>
    <w:rsid w:val="7A186171"/>
    <w:rsid w:val="7A562872"/>
    <w:rsid w:val="7A70182E"/>
    <w:rsid w:val="7AB7E244"/>
    <w:rsid w:val="7AC34054"/>
    <w:rsid w:val="7AEE7323"/>
    <w:rsid w:val="7B8D7C88"/>
    <w:rsid w:val="7C252C88"/>
    <w:rsid w:val="7C492879"/>
    <w:rsid w:val="7C7123FD"/>
    <w:rsid w:val="7C870086"/>
    <w:rsid w:val="7C9F3CAC"/>
    <w:rsid w:val="7CA53A11"/>
    <w:rsid w:val="7CC61BD9"/>
    <w:rsid w:val="7CE22FC4"/>
    <w:rsid w:val="7CF809B2"/>
    <w:rsid w:val="7CFE0DF7"/>
    <w:rsid w:val="7D007C96"/>
    <w:rsid w:val="7D5316BF"/>
    <w:rsid w:val="7D880CE5"/>
    <w:rsid w:val="7D9341B1"/>
    <w:rsid w:val="7DEF22B8"/>
    <w:rsid w:val="7E065567"/>
    <w:rsid w:val="7E464D80"/>
    <w:rsid w:val="7ECE2AEB"/>
    <w:rsid w:val="7ECE3A16"/>
    <w:rsid w:val="7ED93E46"/>
    <w:rsid w:val="7F231565"/>
    <w:rsid w:val="7F771683"/>
    <w:rsid w:val="7FA32CA3"/>
    <w:rsid w:val="7FD7282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17</Pages>
  <Words>7631</Words>
  <Characters>8052</Characters>
  <Lines>56</Lines>
  <Paragraphs>15</Paragraphs>
  <TotalTime>1</TotalTime>
  <ScaleCrop>false</ScaleCrop>
  <LinksUpToDate>false</LinksUpToDate>
  <CharactersWithSpaces>8809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2025-05-28T02:10:00Z</cp:lastPrinted>
  <dcterms:modified xsi:type="dcterms:W3CDTF">2025-11-06T03:09:06Z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0424083260324EC2B0A7E5668366B6F0_13</vt:lpwstr>
  </property>
  <property fmtid="{D5CDD505-2E9C-101B-9397-08002B2CF9AE}" pid="4" name="KSOTemplateDocerSaveRecord">
    <vt:lpwstr>eyJoZGlkIjoiMzEzZDllMGEzMjY0YTk3ZDNjZDQ1YWE5NTdkYjJjMjUiLCJ1c2VySWQiOiIxMDA3OTMzMzY5In0=</vt:lpwstr>
  </property>
</Properties>
</file>